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1EFAD" w14:textId="77777777" w:rsidR="008F7B02" w:rsidRPr="004825F5" w:rsidRDefault="008F7B02" w:rsidP="002115B9">
      <w:pPr>
        <w:spacing w:after="0"/>
        <w:rPr>
          <w:rFonts w:cstheme="minorHAnsi"/>
          <w:sz w:val="24"/>
          <w:szCs w:val="24"/>
        </w:rPr>
      </w:pPr>
    </w:p>
    <w:p w14:paraId="44A1EFAE" w14:textId="77777777" w:rsidR="002115B9" w:rsidRPr="004825F5" w:rsidRDefault="00F54283" w:rsidP="002115B9">
      <w:pPr>
        <w:spacing w:after="0"/>
        <w:rPr>
          <w:rFonts w:cstheme="minorHAnsi"/>
          <w:sz w:val="24"/>
          <w:szCs w:val="24"/>
        </w:rPr>
      </w:pPr>
      <w:r>
        <w:rPr>
          <w:rFonts w:ascii="Calibri" w:eastAsia="Calibri" w:hAnsi="Calibri" w:cs="Calibri"/>
          <w:sz w:val="24"/>
          <w:szCs w:val="24"/>
          <w:bdr w:val="nil"/>
          <w:lang w:val="es-ES_tradnl"/>
        </w:rPr>
        <w:t>Categorías de mensajes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tblGrid>
      <w:tr w:rsidR="00F1188D" w14:paraId="44A1EFB2" w14:textId="77777777" w:rsidTr="00B018F6">
        <w:trPr>
          <w:trHeight w:val="1359"/>
        </w:trPr>
        <w:tc>
          <w:tcPr>
            <w:tcW w:w="5400" w:type="dxa"/>
          </w:tcPr>
          <w:p w14:paraId="44A1EFAF" w14:textId="77777777" w:rsidR="00B018F6" w:rsidRDefault="00B018F6" w:rsidP="00283B91">
            <w:pPr>
              <w:pStyle w:val="ListParagraph"/>
              <w:numPr>
                <w:ilvl w:val="0"/>
                <w:numId w:val="2"/>
              </w:numPr>
              <w:rPr>
                <w:rFonts w:cstheme="minorHAnsi"/>
                <w:sz w:val="24"/>
                <w:szCs w:val="24"/>
              </w:rPr>
            </w:pPr>
            <w:hyperlink w:anchor="_MFPW_Messaging" w:history="1">
              <w:r>
                <w:rPr>
                  <w:rFonts w:ascii="Calibri" w:eastAsia="Calibri" w:hAnsi="Calibri" w:cs="Calibri"/>
                  <w:color w:val="0563C1"/>
                  <w:sz w:val="24"/>
                  <w:szCs w:val="24"/>
                  <w:u w:val="single"/>
                  <w:bdr w:val="nil"/>
                  <w:lang w:val="es-ES_tradnl"/>
                </w:rPr>
                <w:t>Mensajes de la MFPW</w:t>
              </w:r>
            </w:hyperlink>
          </w:p>
          <w:p w14:paraId="44A1EFB0" w14:textId="77777777" w:rsidR="00B018F6" w:rsidRDefault="00B018F6" w:rsidP="00283B91">
            <w:pPr>
              <w:pStyle w:val="ListParagraph"/>
              <w:numPr>
                <w:ilvl w:val="0"/>
                <w:numId w:val="2"/>
              </w:numPr>
              <w:rPr>
                <w:rFonts w:cstheme="minorHAnsi"/>
                <w:sz w:val="24"/>
                <w:szCs w:val="24"/>
              </w:rPr>
            </w:pPr>
            <w:hyperlink w:anchor="_Action_Messaging" w:history="1">
              <w:r>
                <w:rPr>
                  <w:rFonts w:ascii="Calibri" w:eastAsia="Calibri" w:hAnsi="Calibri" w:cs="Calibri"/>
                  <w:color w:val="0563C1"/>
                  <w:sz w:val="24"/>
                  <w:szCs w:val="24"/>
                  <w:u w:val="single"/>
                  <w:bdr w:val="nil"/>
                  <w:lang w:val="es-ES_tradnl"/>
                </w:rPr>
                <w:t>Medidas de acción</w:t>
              </w:r>
            </w:hyperlink>
          </w:p>
          <w:p w14:paraId="44A1EFB1" w14:textId="77777777" w:rsidR="00B018F6" w:rsidRPr="00B018F6" w:rsidRDefault="00B018F6" w:rsidP="00B018F6">
            <w:pPr>
              <w:pStyle w:val="ListParagraph"/>
              <w:numPr>
                <w:ilvl w:val="0"/>
                <w:numId w:val="2"/>
              </w:numPr>
              <w:rPr>
                <w:rFonts w:cstheme="minorHAnsi"/>
                <w:sz w:val="24"/>
                <w:szCs w:val="24"/>
              </w:rPr>
            </w:pPr>
            <w:hyperlink w:anchor="_Audience" w:history="1">
              <w:r>
                <w:rPr>
                  <w:rFonts w:ascii="Calibri" w:eastAsia="Calibri" w:hAnsi="Calibri" w:cs="Calibri"/>
                  <w:color w:val="0563C1"/>
                  <w:sz w:val="24"/>
                  <w:szCs w:val="24"/>
                  <w:u w:val="single"/>
                  <w:bdr w:val="nil"/>
                  <w:lang w:val="es-ES_tradnl"/>
                </w:rPr>
                <w:t>Audiencia</w:t>
              </w:r>
            </w:hyperlink>
          </w:p>
        </w:tc>
      </w:tr>
    </w:tbl>
    <w:p w14:paraId="44A1EFB3" w14:textId="77777777" w:rsidR="008206EC" w:rsidRPr="008054F1" w:rsidRDefault="00F54283" w:rsidP="008054F1">
      <w:pPr>
        <w:pStyle w:val="Heading1"/>
        <w:rPr>
          <w:rFonts w:asciiTheme="minorHAnsi" w:hAnsiTheme="minorHAnsi"/>
          <w:b/>
          <w:bCs/>
        </w:rPr>
      </w:pPr>
      <w:bookmarkStart w:id="0" w:name="_MFPW_Messaging"/>
      <w:bookmarkStart w:id="1" w:name="Beneficiaries"/>
      <w:bookmarkEnd w:id="0"/>
      <w:r>
        <w:rPr>
          <w:rFonts w:ascii="Calibri Light" w:eastAsia="Calibri Light" w:hAnsi="Calibri Light" w:cs="Calibri Light"/>
          <w:b/>
          <w:bCs/>
          <w:color w:val="2F5496"/>
          <w:bdr w:val="nil"/>
          <w:lang w:val="es-ES_tradnl"/>
        </w:rPr>
        <w:t>Mensajes de la MFPW</w:t>
      </w:r>
    </w:p>
    <w:tbl>
      <w:tblPr>
        <w:tblStyle w:val="TableGrid"/>
        <w:tblW w:w="107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38"/>
        <w:gridCol w:w="5502"/>
      </w:tblGrid>
      <w:tr w:rsidR="00F1188D" w14:paraId="44A1EFB6" w14:textId="77777777" w:rsidTr="00844FF4">
        <w:trPr>
          <w:trHeight w:val="300"/>
        </w:trPr>
        <w:tc>
          <w:tcPr>
            <w:tcW w:w="5244" w:type="dxa"/>
            <w:shd w:val="clear" w:color="auto" w:fill="0070C0"/>
          </w:tcPr>
          <w:p w14:paraId="44A1EFB4" w14:textId="77777777" w:rsidR="008206EC" w:rsidRPr="004825F5" w:rsidRDefault="00F54283">
            <w:pPr>
              <w:jc w:val="center"/>
              <w:rPr>
                <w:rFonts w:cstheme="minorHAnsi"/>
              </w:rPr>
            </w:pPr>
            <w:r>
              <w:rPr>
                <w:rFonts w:ascii="Calibri" w:eastAsia="Calibri" w:hAnsi="Calibri" w:cs="Calibri"/>
                <w:color w:val="FFFFFF"/>
                <w:sz w:val="24"/>
                <w:szCs w:val="24"/>
                <w:bdr w:val="nil"/>
                <w:lang w:val="es-ES_tradnl"/>
              </w:rPr>
              <w:t>Texto de la publicación</w:t>
            </w:r>
          </w:p>
        </w:tc>
        <w:tc>
          <w:tcPr>
            <w:tcW w:w="5496" w:type="dxa"/>
            <w:shd w:val="clear" w:color="auto" w:fill="0070C0"/>
          </w:tcPr>
          <w:p w14:paraId="44A1EFB5" w14:textId="77777777" w:rsidR="008206EC" w:rsidRPr="004825F5" w:rsidRDefault="00F54283">
            <w:pPr>
              <w:jc w:val="center"/>
              <w:rPr>
                <w:rFonts w:cstheme="minorHAnsi"/>
                <w:color w:val="FFFFFF" w:themeColor="background1"/>
                <w:sz w:val="24"/>
                <w:szCs w:val="24"/>
              </w:rPr>
            </w:pPr>
            <w:r>
              <w:rPr>
                <w:rFonts w:ascii="Calibri" w:eastAsia="Calibri" w:hAnsi="Calibri" w:cs="Calibri"/>
                <w:color w:val="FFFFFF"/>
                <w:sz w:val="24"/>
                <w:szCs w:val="24"/>
                <w:bdr w:val="nil"/>
                <w:lang w:val="es-ES_tradnl"/>
              </w:rPr>
              <w:t>Opciones de imágenes</w:t>
            </w:r>
          </w:p>
        </w:tc>
      </w:tr>
      <w:tr w:rsidR="00F1188D" w14:paraId="44A1EFBB" w14:textId="77777777" w:rsidTr="00844FF4">
        <w:trPr>
          <w:trHeight w:val="810"/>
        </w:trPr>
        <w:tc>
          <w:tcPr>
            <w:tcW w:w="5244" w:type="dxa"/>
          </w:tcPr>
          <w:p w14:paraId="44A1EFB7" w14:textId="77777777" w:rsidR="007644DC" w:rsidRPr="004C46AC" w:rsidRDefault="00F54283">
            <w:pPr>
              <w:rPr>
                <w:rFonts w:cstheme="minorHAnsi"/>
                <w:lang w:val="es-419"/>
              </w:rPr>
            </w:pPr>
            <w:r>
              <w:rPr>
                <w:rFonts w:ascii="Calibri" w:eastAsia="Calibri" w:hAnsi="Calibri" w:cs="Calibri"/>
                <w:bdr w:val="nil"/>
                <w:lang w:val="es-ES_tradnl"/>
              </w:rPr>
              <w:t xml:space="preserve">¡Es la Semana de Prevención del Fraude contra Medicare! Esta semana, todos pueden aprender a protegerse a sí mismos, a sus amigos y a sus seres queridos en contra de los estafadores.  </w:t>
            </w:r>
          </w:p>
          <w:p w14:paraId="44A1EFB8" w14:textId="77777777" w:rsidR="007644DC" w:rsidRPr="004C46AC" w:rsidRDefault="007644DC">
            <w:pPr>
              <w:rPr>
                <w:rFonts w:cstheme="minorHAnsi"/>
                <w:lang w:val="es-419"/>
              </w:rPr>
            </w:pPr>
          </w:p>
          <w:p w14:paraId="44A1EFB9" w14:textId="77777777" w:rsidR="008206EC" w:rsidRPr="004825F5" w:rsidRDefault="00F54283">
            <w:pPr>
              <w:rPr>
                <w:rFonts w:cstheme="minorHAnsi"/>
              </w:rPr>
            </w:pPr>
            <w:r>
              <w:rPr>
                <w:rFonts w:ascii="Calibri" w:eastAsia="Calibri" w:hAnsi="Calibri" w:cs="Calibri"/>
                <w:bdr w:val="nil"/>
                <w:lang w:val="es-ES_tradnl"/>
              </w:rPr>
              <w:t>Hay muchas formas de participar, así que pongan atención toda la semana a la página de Facebook de la SMP para ver diferentes ideas para prevenir, detectar y reportar el fraude contra Medicare. #MFPW</w:t>
            </w:r>
          </w:p>
        </w:tc>
        <w:tc>
          <w:tcPr>
            <w:tcW w:w="5496" w:type="dxa"/>
          </w:tcPr>
          <w:p w14:paraId="44A1EFBA" w14:textId="77777777" w:rsidR="008206EC" w:rsidRPr="004825F5" w:rsidRDefault="00F54283">
            <w:pPr>
              <w:rPr>
                <w:rFonts w:cstheme="minorHAnsi"/>
              </w:rPr>
            </w:pPr>
            <w:r>
              <w:rPr>
                <w:rFonts w:cstheme="minorHAnsi"/>
                <w:noProof/>
              </w:rPr>
              <w:drawing>
                <wp:inline distT="0" distB="0" distL="0" distR="0" wp14:anchorId="44A1F015" wp14:editId="2A28A138">
                  <wp:extent cx="3271722" cy="3271722"/>
                  <wp:effectExtent l="0" t="0" r="5080" b="5080"/>
                  <wp:docPr id="163891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1633"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1722" cy="3271722"/>
                          </a:xfrm>
                          <a:prstGeom prst="rect">
                            <a:avLst/>
                          </a:prstGeom>
                        </pic:spPr>
                      </pic:pic>
                    </a:graphicData>
                  </a:graphic>
                </wp:inline>
              </w:drawing>
            </w:r>
          </w:p>
        </w:tc>
      </w:tr>
      <w:tr w:rsidR="00F1188D" w14:paraId="44A1EFBE" w14:textId="77777777" w:rsidTr="00844FF4">
        <w:trPr>
          <w:trHeight w:val="810"/>
        </w:trPr>
        <w:tc>
          <w:tcPr>
            <w:tcW w:w="5244" w:type="dxa"/>
          </w:tcPr>
          <w:p w14:paraId="44A1EFBC" w14:textId="77777777" w:rsidR="00FB489C" w:rsidRDefault="00F54283">
            <w:pPr>
              <w:rPr>
                <w:rFonts w:cstheme="minorHAnsi"/>
              </w:rPr>
            </w:pPr>
            <w:r>
              <w:rPr>
                <w:rFonts w:ascii="Calibri" w:eastAsia="Calibri" w:hAnsi="Calibri" w:cs="Calibri"/>
                <w:bdr w:val="nil"/>
                <w:lang w:val="es-ES_tradnl"/>
              </w:rPr>
              <w:lastRenderedPageBreak/>
              <w:t>¡Feliz 6/5! ¡La mayoría de las personas se vuelven elegibles para Medicare a los 65 años, por eso celebramos la Semana de Prevención del Fraude contra Medicare la semana del 6/5 (5 de junio) para ayudar a recordar los pasos para prevenir, detectar y reportar el fraude contra Medicare! #MedicareFraudPreventionWeek #MFPW</w:t>
            </w:r>
          </w:p>
        </w:tc>
        <w:tc>
          <w:tcPr>
            <w:tcW w:w="5496" w:type="dxa"/>
          </w:tcPr>
          <w:p w14:paraId="44A1EFBD" w14:textId="77777777" w:rsidR="00FB489C" w:rsidRDefault="00F54283">
            <w:pPr>
              <w:rPr>
                <w:rFonts w:cstheme="minorHAnsi"/>
                <w:noProof/>
              </w:rPr>
            </w:pPr>
            <w:r>
              <w:rPr>
                <w:rFonts w:cstheme="minorHAnsi"/>
                <w:noProof/>
              </w:rPr>
              <w:drawing>
                <wp:inline distT="0" distB="0" distL="0" distR="0" wp14:anchorId="44A1F017" wp14:editId="26930422">
                  <wp:extent cx="3356710" cy="3356710"/>
                  <wp:effectExtent l="0" t="0" r="0" b="0"/>
                  <wp:docPr id="15608597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59783"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56710" cy="3356710"/>
                          </a:xfrm>
                          <a:prstGeom prst="rect">
                            <a:avLst/>
                          </a:prstGeom>
                        </pic:spPr>
                      </pic:pic>
                    </a:graphicData>
                  </a:graphic>
                </wp:inline>
              </w:drawing>
            </w:r>
          </w:p>
        </w:tc>
      </w:tr>
    </w:tbl>
    <w:p w14:paraId="44A1EFBF" w14:textId="77777777" w:rsidR="008206EC" w:rsidRDefault="008206EC" w:rsidP="002115B9">
      <w:pPr>
        <w:spacing w:after="0"/>
        <w:rPr>
          <w:rFonts w:cstheme="minorHAnsi"/>
          <w:sz w:val="24"/>
          <w:szCs w:val="24"/>
        </w:rPr>
      </w:pPr>
    </w:p>
    <w:p w14:paraId="44A1EFC0" w14:textId="77777777" w:rsidR="00B018F6" w:rsidRPr="008054F1" w:rsidRDefault="00F54283" w:rsidP="008054F1">
      <w:pPr>
        <w:pStyle w:val="Heading1"/>
        <w:rPr>
          <w:rFonts w:asciiTheme="minorHAnsi" w:hAnsiTheme="minorHAnsi"/>
          <w:b/>
          <w:bCs/>
        </w:rPr>
      </w:pPr>
      <w:bookmarkStart w:id="2" w:name="_Action_Messaging"/>
      <w:bookmarkEnd w:id="2"/>
      <w:r>
        <w:rPr>
          <w:rFonts w:ascii="Calibri Light" w:eastAsia="Calibri Light" w:hAnsi="Calibri Light" w:cs="Calibri Light"/>
          <w:b/>
          <w:bCs/>
          <w:color w:val="2F5496"/>
          <w:bdr w:val="nil"/>
          <w:lang w:val="es-ES_tradnl"/>
        </w:rPr>
        <w:t>Mensajes de acción</w:t>
      </w:r>
    </w:p>
    <w:tbl>
      <w:tblPr>
        <w:tblStyle w:val="TableGrid"/>
        <w:tblW w:w="107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14"/>
        <w:gridCol w:w="5526"/>
      </w:tblGrid>
      <w:tr w:rsidR="00F1188D" w14:paraId="44A1EFC3" w14:textId="77777777" w:rsidTr="63630CFE">
        <w:trPr>
          <w:trHeight w:val="300"/>
        </w:trPr>
        <w:tc>
          <w:tcPr>
            <w:tcW w:w="5244" w:type="dxa"/>
            <w:shd w:val="clear" w:color="auto" w:fill="0070C0"/>
          </w:tcPr>
          <w:p w14:paraId="44A1EFC1" w14:textId="77777777" w:rsidR="00B018F6" w:rsidRPr="004825F5" w:rsidRDefault="00F54283">
            <w:pPr>
              <w:jc w:val="center"/>
              <w:rPr>
                <w:rFonts w:cstheme="minorHAnsi"/>
              </w:rPr>
            </w:pPr>
            <w:r>
              <w:rPr>
                <w:rFonts w:ascii="Calibri" w:eastAsia="Calibri" w:hAnsi="Calibri" w:cs="Calibri"/>
                <w:color w:val="FFFFFF"/>
                <w:sz w:val="24"/>
                <w:szCs w:val="24"/>
                <w:bdr w:val="nil"/>
                <w:lang w:val="es-ES_tradnl"/>
              </w:rPr>
              <w:t>Texto de la publicación</w:t>
            </w:r>
          </w:p>
        </w:tc>
        <w:tc>
          <w:tcPr>
            <w:tcW w:w="5496" w:type="dxa"/>
            <w:shd w:val="clear" w:color="auto" w:fill="0070C0"/>
          </w:tcPr>
          <w:p w14:paraId="44A1EFC2" w14:textId="77777777" w:rsidR="00B018F6" w:rsidRPr="004825F5" w:rsidRDefault="00F54283">
            <w:pPr>
              <w:jc w:val="center"/>
              <w:rPr>
                <w:rFonts w:cstheme="minorHAnsi"/>
                <w:color w:val="FFFFFF" w:themeColor="background1"/>
                <w:sz w:val="24"/>
                <w:szCs w:val="24"/>
              </w:rPr>
            </w:pPr>
            <w:r>
              <w:rPr>
                <w:rFonts w:ascii="Calibri" w:eastAsia="Calibri" w:hAnsi="Calibri" w:cs="Calibri"/>
                <w:color w:val="FFFFFF"/>
                <w:sz w:val="24"/>
                <w:szCs w:val="24"/>
                <w:bdr w:val="nil"/>
                <w:lang w:val="es-ES_tradnl"/>
              </w:rPr>
              <w:t>Opciones de imágenes</w:t>
            </w:r>
          </w:p>
        </w:tc>
      </w:tr>
      <w:tr w:rsidR="00F1188D" w14:paraId="44A1EFC6" w14:textId="77777777" w:rsidTr="63630CFE">
        <w:trPr>
          <w:trHeight w:val="810"/>
        </w:trPr>
        <w:tc>
          <w:tcPr>
            <w:tcW w:w="5244" w:type="dxa"/>
          </w:tcPr>
          <w:p w14:paraId="44A1EFC4" w14:textId="77777777" w:rsidR="00B018F6" w:rsidRPr="004825F5" w:rsidRDefault="00F54283">
            <w:pPr>
              <w:rPr>
                <w:rFonts w:cstheme="minorHAnsi"/>
              </w:rPr>
            </w:pPr>
            <w:r>
              <w:rPr>
                <w:rFonts w:ascii="Calibri" w:eastAsia="Calibri" w:hAnsi="Calibri" w:cs="Calibri"/>
                <w:bdr w:val="nil"/>
                <w:lang w:val="es-ES_tradnl"/>
              </w:rPr>
              <w:t>¿Tiene todo listo para sumarse a la lucha contra el fraude? Cree una cuenta gratuita en línea en Medicare.gov para poder dar seguimiento a los reclamos y asegurarse de que sus facturas sean correctas. #MedicareFraudPreventionWeek #MFPW</w:t>
            </w:r>
          </w:p>
        </w:tc>
        <w:tc>
          <w:tcPr>
            <w:tcW w:w="5496" w:type="dxa"/>
          </w:tcPr>
          <w:p w14:paraId="44A1EFC5" w14:textId="77777777" w:rsidR="00B018F6" w:rsidRDefault="00F54283">
            <w:pPr>
              <w:rPr>
                <w:rFonts w:cstheme="minorHAnsi"/>
                <w:noProof/>
              </w:rPr>
            </w:pPr>
            <w:r>
              <w:rPr>
                <w:rFonts w:cstheme="minorHAnsi"/>
                <w:noProof/>
              </w:rPr>
              <w:drawing>
                <wp:inline distT="0" distB="0" distL="0" distR="0" wp14:anchorId="44A1F019" wp14:editId="1544BD3D">
                  <wp:extent cx="3269009" cy="3269009"/>
                  <wp:effectExtent l="0" t="0" r="7620" b="7620"/>
                  <wp:docPr id="11011872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87211"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69009" cy="3269009"/>
                          </a:xfrm>
                          <a:prstGeom prst="rect">
                            <a:avLst/>
                          </a:prstGeom>
                        </pic:spPr>
                      </pic:pic>
                    </a:graphicData>
                  </a:graphic>
                </wp:inline>
              </w:drawing>
            </w:r>
          </w:p>
        </w:tc>
      </w:tr>
      <w:tr w:rsidR="00F1188D" w14:paraId="44A1EFCE" w14:textId="77777777" w:rsidTr="63630CFE">
        <w:trPr>
          <w:trHeight w:val="810"/>
        </w:trPr>
        <w:tc>
          <w:tcPr>
            <w:tcW w:w="5244" w:type="dxa"/>
          </w:tcPr>
          <w:p w14:paraId="44A1EFC7" w14:textId="77777777" w:rsidR="00B018F6" w:rsidRPr="004C46AC" w:rsidRDefault="00F54283">
            <w:pPr>
              <w:rPr>
                <w:rFonts w:cstheme="minorHAnsi"/>
                <w:lang w:val="es-419"/>
              </w:rPr>
            </w:pPr>
            <w:r>
              <w:rPr>
                <w:rFonts w:ascii="Calibri" w:eastAsia="Calibri" w:hAnsi="Calibri" w:cs="Calibri"/>
                <w:bdr w:val="nil"/>
                <w:lang w:val="es-ES_tradnl"/>
              </w:rPr>
              <w:lastRenderedPageBreak/>
              <w:t xml:space="preserve">¿Sabe cómo leer un estado de cuenta de Medicare? Si no lo sabe, ¡es un buen momento para aprender! </w:t>
            </w:r>
          </w:p>
          <w:p w14:paraId="44A1EFC8" w14:textId="77777777" w:rsidR="00B018F6" w:rsidRPr="004C46AC" w:rsidRDefault="00B018F6">
            <w:pPr>
              <w:rPr>
                <w:rFonts w:cstheme="minorHAnsi"/>
                <w:lang w:val="es-419"/>
              </w:rPr>
            </w:pPr>
          </w:p>
          <w:p w14:paraId="44A1EFC9" w14:textId="77777777" w:rsidR="00B018F6" w:rsidRPr="004C46AC" w:rsidRDefault="00F54283">
            <w:pPr>
              <w:rPr>
                <w:rFonts w:cstheme="minorHAnsi"/>
                <w:lang w:val="es-419"/>
              </w:rPr>
            </w:pPr>
            <w:r>
              <w:rPr>
                <w:rFonts w:ascii="Calibri" w:eastAsia="Calibri" w:hAnsi="Calibri" w:cs="Calibri"/>
                <w:bdr w:val="nil"/>
                <w:lang w:val="es-ES_tradnl"/>
              </w:rPr>
              <w:t xml:space="preserve">Leer los estados de cuenta de Medicare que llegan por correo cada 180 días o en línea en cualquier momento en Medicare.gov es una buena forma de encontrar y reportar una sospecha de fraude. </w:t>
            </w:r>
          </w:p>
          <w:p w14:paraId="44A1EFCA" w14:textId="77777777" w:rsidR="00B018F6" w:rsidRPr="004C46AC" w:rsidRDefault="00B018F6">
            <w:pPr>
              <w:rPr>
                <w:rFonts w:cstheme="minorHAnsi"/>
                <w:lang w:val="es-419"/>
              </w:rPr>
            </w:pPr>
          </w:p>
          <w:p w14:paraId="44A1EFCB" w14:textId="77777777" w:rsidR="00B018F6" w:rsidRPr="004C46AC" w:rsidRDefault="00F54283">
            <w:pPr>
              <w:rPr>
                <w:rFonts w:cstheme="minorHAnsi"/>
                <w:lang w:val="es-419"/>
              </w:rPr>
            </w:pPr>
            <w:r>
              <w:rPr>
                <w:rFonts w:ascii="Calibri" w:eastAsia="Calibri" w:hAnsi="Calibri" w:cs="Calibri"/>
                <w:bdr w:val="nil"/>
                <w:lang w:val="es-ES_tradnl"/>
              </w:rPr>
              <w:t xml:space="preserve">La SMP tiene muchas herramientas que le ayudan a aprender a leer sus estados de cuenta de Medicare. Obtenga más información en </w:t>
            </w:r>
            <w:hyperlink r:id="rId14" w:history="1">
              <w:r w:rsidR="00B018F6">
                <w:rPr>
                  <w:rFonts w:ascii="Calibri" w:eastAsia="Calibri" w:hAnsi="Calibri" w:cs="Calibri"/>
                  <w:color w:val="0563C1"/>
                  <w:u w:val="single"/>
                  <w:bdr w:val="nil"/>
                  <w:lang w:val="es-ES_tradnl"/>
                </w:rPr>
                <w:t>https://smpresource.org/you-can-help/read-your-medicare-statements/</w:t>
              </w:r>
            </w:hyperlink>
            <w:r>
              <w:rPr>
                <w:rFonts w:ascii="Calibri" w:eastAsia="Calibri" w:hAnsi="Calibri" w:cs="Calibri"/>
                <w:bdr w:val="nil"/>
                <w:lang w:val="es-ES_tradnl"/>
              </w:rPr>
              <w:t xml:space="preserve">. </w:t>
            </w:r>
          </w:p>
          <w:p w14:paraId="44A1EFCC" w14:textId="77777777" w:rsidR="00B018F6" w:rsidRDefault="00F54283">
            <w:pPr>
              <w:rPr>
                <w:rFonts w:cstheme="minorHAnsi"/>
              </w:rPr>
            </w:pPr>
            <w:r>
              <w:rPr>
                <w:rFonts w:ascii="Calibri" w:eastAsia="Calibri" w:hAnsi="Calibri" w:cs="Calibri"/>
                <w:bdr w:val="nil"/>
                <w:lang w:val="es-ES_tradnl"/>
              </w:rPr>
              <w:br/>
              <w:t>#MedicareFraudPreventionWeek #MPFW</w:t>
            </w:r>
          </w:p>
        </w:tc>
        <w:tc>
          <w:tcPr>
            <w:tcW w:w="5496" w:type="dxa"/>
          </w:tcPr>
          <w:p w14:paraId="44A1EFCD" w14:textId="77777777" w:rsidR="00B018F6" w:rsidRDefault="00F54283">
            <w:pPr>
              <w:rPr>
                <w:rFonts w:cstheme="minorHAnsi"/>
                <w:noProof/>
              </w:rPr>
            </w:pPr>
            <w:r>
              <w:rPr>
                <w:rFonts w:cstheme="minorHAnsi"/>
                <w:noProof/>
              </w:rPr>
              <w:drawing>
                <wp:inline distT="0" distB="0" distL="0" distR="0" wp14:anchorId="44A1F01B" wp14:editId="08C6940B">
                  <wp:extent cx="3327808" cy="3327808"/>
                  <wp:effectExtent l="0" t="0" r="6350" b="6350"/>
                  <wp:docPr id="4629450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945073"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27808" cy="3327808"/>
                          </a:xfrm>
                          <a:prstGeom prst="rect">
                            <a:avLst/>
                          </a:prstGeom>
                        </pic:spPr>
                      </pic:pic>
                    </a:graphicData>
                  </a:graphic>
                </wp:inline>
              </w:drawing>
            </w:r>
          </w:p>
        </w:tc>
      </w:tr>
      <w:tr w:rsidR="00F1188D" w14:paraId="44A1EFD1" w14:textId="77777777" w:rsidTr="63630CFE">
        <w:trPr>
          <w:trHeight w:val="810"/>
        </w:trPr>
        <w:tc>
          <w:tcPr>
            <w:tcW w:w="5244" w:type="dxa"/>
          </w:tcPr>
          <w:p w14:paraId="44A1EFCF" w14:textId="77777777" w:rsidR="00B018F6" w:rsidRDefault="00F54283" w:rsidP="63630CFE">
            <w:r>
              <w:rPr>
                <w:rFonts w:ascii="Calibri" w:eastAsia="Calibri" w:hAnsi="Calibri" w:cs="Calibri"/>
                <w:bdr w:val="nil"/>
                <w:lang w:val="es-ES_tradnl"/>
              </w:rPr>
              <w:t>Proteja su tarjeta de Medicare. No comparta su número de Medicare con nadie por teléfono. No lo envíe por mensaje de texto. No lo use para inscribirse en ofertas "gratuitas". Decir no es la mejor defensa en contra de los estafadores. #MedicareFraudPreventionWeek #MFPW</w:t>
            </w:r>
          </w:p>
        </w:tc>
        <w:tc>
          <w:tcPr>
            <w:tcW w:w="5496" w:type="dxa"/>
          </w:tcPr>
          <w:p w14:paraId="44A1EFD0" w14:textId="77777777" w:rsidR="00B018F6" w:rsidRDefault="00F54283">
            <w:pPr>
              <w:rPr>
                <w:rFonts w:cstheme="minorHAnsi"/>
                <w:noProof/>
              </w:rPr>
            </w:pPr>
            <w:r>
              <w:rPr>
                <w:rFonts w:cstheme="minorHAnsi"/>
                <w:noProof/>
              </w:rPr>
              <w:drawing>
                <wp:inline distT="0" distB="0" distL="0" distR="0" wp14:anchorId="44A1F01D" wp14:editId="0F38B983">
                  <wp:extent cx="3328848" cy="3328848"/>
                  <wp:effectExtent l="0" t="0" r="5080" b="5080"/>
                  <wp:docPr id="20386580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658095"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328848" cy="3328848"/>
                          </a:xfrm>
                          <a:prstGeom prst="rect">
                            <a:avLst/>
                          </a:prstGeom>
                          <a:noFill/>
                          <a:ln>
                            <a:noFill/>
                          </a:ln>
                        </pic:spPr>
                      </pic:pic>
                    </a:graphicData>
                  </a:graphic>
                </wp:inline>
              </w:drawing>
            </w:r>
          </w:p>
        </w:tc>
      </w:tr>
      <w:tr w:rsidR="00F1188D" w14:paraId="44A1EFD6" w14:textId="77777777" w:rsidTr="63630CFE">
        <w:trPr>
          <w:trHeight w:val="810"/>
        </w:trPr>
        <w:tc>
          <w:tcPr>
            <w:tcW w:w="5244" w:type="dxa"/>
          </w:tcPr>
          <w:p w14:paraId="44A1EFD2" w14:textId="77777777" w:rsidR="00315428" w:rsidRDefault="00F54283" w:rsidP="63630CFE">
            <w:r>
              <w:rPr>
                <w:rFonts w:ascii="Calibri" w:eastAsia="Calibri" w:hAnsi="Calibri" w:cs="Calibri"/>
                <w:bdr w:val="nil"/>
                <w:lang w:val="es-ES_tradnl"/>
              </w:rPr>
              <w:lastRenderedPageBreak/>
              <w:t>Pida y use un "Mi Rastreador de Atención de Salud" a la SMP y dé seguimiento a lo que ocurre en las citas para poder compararlo con lo que le facturan en los Resúmenes de Medicare (MSN) y/o las Explicaciones de Beneficios (EOB).</w:t>
            </w:r>
            <w:r>
              <w:rPr>
                <w:rFonts w:ascii="Calibri" w:eastAsia="Calibri" w:hAnsi="Calibri" w:cs="Calibri"/>
                <w:bdr w:val="nil"/>
                <w:lang w:val="es-ES_tradnl"/>
              </w:rPr>
              <w:br/>
            </w:r>
            <w:r>
              <w:rPr>
                <w:rFonts w:ascii="Calibri" w:eastAsia="Calibri" w:hAnsi="Calibri" w:cs="Calibri"/>
                <w:bdr w:val="nil"/>
                <w:lang w:val="es-ES_tradnl"/>
              </w:rPr>
              <w:br/>
              <w:t xml:space="preserve">Si ve algo preocupante, repórtelo a la SMP. </w:t>
            </w:r>
          </w:p>
          <w:p w14:paraId="44A1EFD3" w14:textId="77777777" w:rsidR="00315428" w:rsidRPr="00315428" w:rsidRDefault="00F54283" w:rsidP="00315428">
            <w:pPr>
              <w:rPr>
                <w:rFonts w:cstheme="minorHAnsi"/>
              </w:rPr>
            </w:pPr>
            <w:r>
              <w:rPr>
                <w:rFonts w:ascii="Calibri" w:eastAsia="Calibri" w:hAnsi="Calibri" w:cs="Calibri"/>
                <w:bdr w:val="nil"/>
                <w:lang w:val="es-ES_tradnl"/>
              </w:rPr>
              <w:t>#MedicareFraudPreventionWeek #MFPW</w:t>
            </w:r>
          </w:p>
          <w:p w14:paraId="44A1EFD4" w14:textId="77777777" w:rsidR="00B018F6" w:rsidRDefault="00B018F6">
            <w:pPr>
              <w:rPr>
                <w:rFonts w:cstheme="minorHAnsi"/>
              </w:rPr>
            </w:pPr>
          </w:p>
        </w:tc>
        <w:tc>
          <w:tcPr>
            <w:tcW w:w="5496" w:type="dxa"/>
          </w:tcPr>
          <w:p w14:paraId="44A1EFD5" w14:textId="77777777" w:rsidR="00B018F6" w:rsidRDefault="00F54283">
            <w:pPr>
              <w:rPr>
                <w:rFonts w:cstheme="minorHAnsi"/>
                <w:noProof/>
              </w:rPr>
            </w:pPr>
            <w:r>
              <w:rPr>
                <w:rFonts w:cstheme="minorHAnsi"/>
                <w:noProof/>
              </w:rPr>
              <w:drawing>
                <wp:inline distT="0" distB="0" distL="0" distR="0" wp14:anchorId="44A1F01F" wp14:editId="6F06BC7C">
                  <wp:extent cx="3265144" cy="3265144"/>
                  <wp:effectExtent l="0" t="0" r="0" b="0"/>
                  <wp:docPr id="18726628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662878"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265144" cy="3265144"/>
                          </a:xfrm>
                          <a:prstGeom prst="rect">
                            <a:avLst/>
                          </a:prstGeom>
                          <a:noFill/>
                          <a:ln>
                            <a:noFill/>
                          </a:ln>
                        </pic:spPr>
                      </pic:pic>
                    </a:graphicData>
                  </a:graphic>
                </wp:inline>
              </w:drawing>
            </w:r>
          </w:p>
        </w:tc>
      </w:tr>
      <w:tr w:rsidR="00F1188D" w14:paraId="44A1EFDB" w14:textId="77777777" w:rsidTr="63630CFE">
        <w:trPr>
          <w:trHeight w:val="810"/>
        </w:trPr>
        <w:tc>
          <w:tcPr>
            <w:tcW w:w="5244" w:type="dxa"/>
          </w:tcPr>
          <w:p w14:paraId="44A1EFD7" w14:textId="77777777" w:rsidR="00B937DF" w:rsidRDefault="00F54283" w:rsidP="63630CFE">
            <w:r>
              <w:rPr>
                <w:rFonts w:ascii="Calibri" w:eastAsia="Calibri" w:hAnsi="Calibri" w:cs="Calibri"/>
                <w:bdr w:val="nil"/>
                <w:lang w:val="es-ES_tradnl"/>
              </w:rPr>
              <w:t>Descargue la aplicación SMP Medicare Tracker para registrar lo que ocurre en las citas de atención de salud. Luego, compárelo con lo que le facturan en los Resúmenes de Medicare (MSN) y/o las Explicaciones de beneficios (EOB).</w:t>
            </w:r>
            <w:r>
              <w:rPr>
                <w:rFonts w:ascii="Calibri" w:eastAsia="Calibri" w:hAnsi="Calibri" w:cs="Calibri"/>
                <w:bdr w:val="nil"/>
                <w:lang w:val="es-ES_tradnl"/>
              </w:rPr>
              <w:br/>
            </w:r>
            <w:r>
              <w:rPr>
                <w:rFonts w:ascii="Calibri" w:eastAsia="Calibri" w:hAnsi="Calibri" w:cs="Calibri"/>
                <w:bdr w:val="nil"/>
                <w:lang w:val="es-ES_tradnl"/>
              </w:rPr>
              <w:br/>
              <w:t xml:space="preserve">Si ve algo preocupante, repórtelo a la SMP. </w:t>
            </w:r>
          </w:p>
          <w:p w14:paraId="44A1EFD8" w14:textId="77777777" w:rsidR="00B937DF" w:rsidRPr="00315428" w:rsidRDefault="00F54283" w:rsidP="00B937DF">
            <w:pPr>
              <w:rPr>
                <w:rFonts w:cstheme="minorHAnsi"/>
              </w:rPr>
            </w:pPr>
            <w:r>
              <w:rPr>
                <w:rFonts w:ascii="Calibri" w:eastAsia="Calibri" w:hAnsi="Calibri" w:cs="Calibri"/>
                <w:bdr w:val="nil"/>
                <w:lang w:val="es-ES_tradnl"/>
              </w:rPr>
              <w:t>#MedicareFraudPreventionWeek #MFPW</w:t>
            </w:r>
          </w:p>
          <w:p w14:paraId="44A1EFD9" w14:textId="77777777" w:rsidR="00B018F6" w:rsidRDefault="00B018F6">
            <w:pPr>
              <w:rPr>
                <w:rFonts w:cstheme="minorHAnsi"/>
              </w:rPr>
            </w:pPr>
          </w:p>
        </w:tc>
        <w:tc>
          <w:tcPr>
            <w:tcW w:w="5496" w:type="dxa"/>
          </w:tcPr>
          <w:p w14:paraId="44A1EFDA" w14:textId="77777777" w:rsidR="00B018F6" w:rsidRDefault="00F54283">
            <w:pPr>
              <w:rPr>
                <w:rFonts w:cstheme="minorHAnsi"/>
                <w:noProof/>
              </w:rPr>
            </w:pPr>
            <w:r>
              <w:rPr>
                <w:rFonts w:cstheme="minorHAnsi"/>
                <w:noProof/>
              </w:rPr>
              <w:drawing>
                <wp:inline distT="0" distB="0" distL="0" distR="0" wp14:anchorId="44A1F021" wp14:editId="22F62B8D">
                  <wp:extent cx="3268751" cy="3268751"/>
                  <wp:effectExtent l="0" t="0" r="8255" b="8255"/>
                  <wp:docPr id="10530928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092849"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268751" cy="3268751"/>
                          </a:xfrm>
                          <a:prstGeom prst="rect">
                            <a:avLst/>
                          </a:prstGeom>
                          <a:noFill/>
                          <a:ln>
                            <a:noFill/>
                          </a:ln>
                        </pic:spPr>
                      </pic:pic>
                    </a:graphicData>
                  </a:graphic>
                </wp:inline>
              </w:drawing>
            </w:r>
          </w:p>
        </w:tc>
      </w:tr>
      <w:tr w:rsidR="00F1188D" w14:paraId="44A1EFE3" w14:textId="77777777" w:rsidTr="63630CFE">
        <w:trPr>
          <w:trHeight w:val="810"/>
        </w:trPr>
        <w:tc>
          <w:tcPr>
            <w:tcW w:w="5244" w:type="dxa"/>
          </w:tcPr>
          <w:p w14:paraId="44A1EFDC" w14:textId="77777777" w:rsidR="00B937DF" w:rsidRPr="004C46AC" w:rsidRDefault="00F54283">
            <w:pPr>
              <w:rPr>
                <w:rFonts w:cstheme="minorHAnsi"/>
                <w:lang w:val="es-419"/>
              </w:rPr>
            </w:pPr>
            <w:r>
              <w:rPr>
                <w:rFonts w:ascii="Calibri" w:eastAsia="Calibri" w:hAnsi="Calibri" w:cs="Calibri"/>
                <w:bdr w:val="nil"/>
                <w:lang w:val="es-ES_tradnl"/>
              </w:rPr>
              <w:lastRenderedPageBreak/>
              <w:t xml:space="preserve">La forma más eficaz de evitar que ocurra un fraude contra Medicare es prevenirlo. </w:t>
            </w:r>
          </w:p>
          <w:p w14:paraId="44A1EFDD" w14:textId="77777777" w:rsidR="00B937DF" w:rsidRPr="004C46AC" w:rsidRDefault="00B937DF">
            <w:pPr>
              <w:rPr>
                <w:rFonts w:cstheme="minorHAnsi"/>
                <w:lang w:val="es-419"/>
              </w:rPr>
            </w:pPr>
          </w:p>
          <w:p w14:paraId="44A1EFDE" w14:textId="77777777" w:rsidR="00B018F6" w:rsidRPr="004C46AC" w:rsidRDefault="00F54283">
            <w:pPr>
              <w:rPr>
                <w:rFonts w:cstheme="minorHAnsi"/>
                <w:lang w:val="es-419"/>
              </w:rPr>
            </w:pPr>
            <w:r>
              <w:rPr>
                <w:rFonts w:ascii="Calibri" w:eastAsia="Calibri" w:hAnsi="Calibri" w:cs="Calibri"/>
                <w:bdr w:val="nil"/>
                <w:lang w:val="es-ES_tradnl"/>
              </w:rPr>
              <w:t>Para situaciones que no puede prevenir, aprender a detectar los posibles fraudes, errores y abuso es muy importante.</w:t>
            </w:r>
          </w:p>
          <w:p w14:paraId="44A1EFDF" w14:textId="77777777" w:rsidR="00B937DF" w:rsidRPr="004C46AC" w:rsidRDefault="00B937DF">
            <w:pPr>
              <w:rPr>
                <w:rFonts w:cstheme="minorHAnsi"/>
                <w:lang w:val="es-419"/>
              </w:rPr>
            </w:pPr>
          </w:p>
          <w:p w14:paraId="44A1EFE0" w14:textId="77777777" w:rsidR="008054F1" w:rsidRPr="004C46AC" w:rsidRDefault="00F54283" w:rsidP="63630CFE">
            <w:pPr>
              <w:rPr>
                <w:lang w:val="es-419"/>
              </w:rPr>
            </w:pPr>
            <w:r>
              <w:rPr>
                <w:rFonts w:ascii="Calibri" w:eastAsia="Calibri" w:hAnsi="Calibri" w:cs="Calibri"/>
                <w:bdr w:val="nil"/>
                <w:lang w:val="es-ES_tradnl"/>
              </w:rPr>
              <w:t>¡Si encuentra algo preocupante en un estado de cuenta de Medicare o comparte su información de Medicare sin querer, repórtelo! No lo esconda y no sienta vergüenza. Los estafadores son muy buenos en lo que hacen y la SMP está aquí para ayudar. </w:t>
            </w:r>
          </w:p>
          <w:p w14:paraId="44A1EFE1" w14:textId="77777777" w:rsidR="00B937DF" w:rsidRDefault="00F54283">
            <w:pPr>
              <w:rPr>
                <w:rFonts w:cstheme="minorHAnsi"/>
              </w:rPr>
            </w:pPr>
            <w:r>
              <w:rPr>
                <w:rFonts w:ascii="Calibri" w:eastAsia="Calibri" w:hAnsi="Calibri" w:cs="Calibri"/>
                <w:bdr w:val="nil"/>
                <w:lang w:val="es-ES_tradnl"/>
              </w:rPr>
              <w:t>#MedicareFraudPreventionWeek #MFPW</w:t>
            </w:r>
          </w:p>
        </w:tc>
        <w:tc>
          <w:tcPr>
            <w:tcW w:w="5496" w:type="dxa"/>
          </w:tcPr>
          <w:p w14:paraId="44A1EFE2" w14:textId="77777777" w:rsidR="00B018F6" w:rsidRDefault="00F54283">
            <w:pPr>
              <w:rPr>
                <w:rFonts w:cstheme="minorHAnsi"/>
                <w:noProof/>
              </w:rPr>
            </w:pPr>
            <w:r>
              <w:rPr>
                <w:rFonts w:cstheme="minorHAnsi"/>
                <w:noProof/>
              </w:rPr>
              <w:drawing>
                <wp:inline distT="0" distB="0" distL="0" distR="0" wp14:anchorId="44A1F023" wp14:editId="1984C6F2">
                  <wp:extent cx="3362795" cy="3362795"/>
                  <wp:effectExtent l="0" t="0" r="9525" b="9525"/>
                  <wp:docPr id="10839991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999179"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362795" cy="3362795"/>
                          </a:xfrm>
                          <a:prstGeom prst="rect">
                            <a:avLst/>
                          </a:prstGeom>
                          <a:noFill/>
                          <a:ln>
                            <a:noFill/>
                          </a:ln>
                        </pic:spPr>
                      </pic:pic>
                    </a:graphicData>
                  </a:graphic>
                </wp:inline>
              </w:drawing>
            </w:r>
          </w:p>
        </w:tc>
      </w:tr>
    </w:tbl>
    <w:p w14:paraId="44A1EFE4" w14:textId="77777777" w:rsidR="00B018F6" w:rsidRDefault="00B018F6" w:rsidP="002115B9">
      <w:pPr>
        <w:spacing w:after="0"/>
        <w:rPr>
          <w:rFonts w:cstheme="minorHAnsi"/>
          <w:sz w:val="24"/>
          <w:szCs w:val="24"/>
        </w:rPr>
      </w:pPr>
    </w:p>
    <w:p w14:paraId="44A1EFE5" w14:textId="77777777" w:rsidR="00B018F6" w:rsidRDefault="00B018F6" w:rsidP="002115B9">
      <w:pPr>
        <w:spacing w:after="0"/>
        <w:rPr>
          <w:rFonts w:cstheme="minorHAnsi"/>
          <w:sz w:val="24"/>
          <w:szCs w:val="24"/>
        </w:rPr>
      </w:pPr>
    </w:p>
    <w:p w14:paraId="44A1EFE6" w14:textId="77777777" w:rsidR="00283B91" w:rsidRPr="008054F1" w:rsidRDefault="00F54283" w:rsidP="008054F1">
      <w:pPr>
        <w:pStyle w:val="Heading1"/>
        <w:rPr>
          <w:rFonts w:asciiTheme="minorHAnsi" w:hAnsiTheme="minorHAnsi"/>
          <w:b/>
          <w:bCs/>
        </w:rPr>
      </w:pPr>
      <w:bookmarkStart w:id="3" w:name="_Audience"/>
      <w:bookmarkEnd w:id="1"/>
      <w:bookmarkEnd w:id="3"/>
      <w:r>
        <w:rPr>
          <w:rFonts w:ascii="Calibri Light" w:eastAsia="Calibri Light" w:hAnsi="Calibri Light" w:cs="Calibri Light"/>
          <w:b/>
          <w:bCs/>
          <w:color w:val="2F5496"/>
          <w:bdr w:val="nil"/>
          <w:lang w:val="es-ES_tradnl"/>
        </w:rPr>
        <w:t>Audiencia</w:t>
      </w:r>
    </w:p>
    <w:tbl>
      <w:tblPr>
        <w:tblStyle w:val="TableGrid"/>
        <w:tblW w:w="107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062"/>
        <w:gridCol w:w="5678"/>
      </w:tblGrid>
      <w:tr w:rsidR="00F1188D" w14:paraId="44A1EFE9" w14:textId="77777777" w:rsidTr="009B1E5E">
        <w:trPr>
          <w:trHeight w:val="300"/>
        </w:trPr>
        <w:tc>
          <w:tcPr>
            <w:tcW w:w="5064" w:type="dxa"/>
            <w:shd w:val="clear" w:color="auto" w:fill="0070C0"/>
          </w:tcPr>
          <w:p w14:paraId="44A1EFE7" w14:textId="77777777" w:rsidR="00732195" w:rsidRPr="004825F5" w:rsidRDefault="00F54283" w:rsidP="2A3B109C">
            <w:pPr>
              <w:jc w:val="center"/>
              <w:rPr>
                <w:rFonts w:cstheme="minorHAnsi"/>
              </w:rPr>
            </w:pPr>
            <w:r>
              <w:rPr>
                <w:rFonts w:ascii="Calibri" w:eastAsia="Calibri" w:hAnsi="Calibri" w:cs="Calibri"/>
                <w:color w:val="FFFFFF"/>
                <w:sz w:val="24"/>
                <w:szCs w:val="24"/>
                <w:bdr w:val="nil"/>
                <w:lang w:val="es-ES_tradnl"/>
              </w:rPr>
              <w:t>Texto de la publicación</w:t>
            </w:r>
            <w:bookmarkStart w:id="4" w:name="_Hlk98845402"/>
          </w:p>
        </w:tc>
        <w:tc>
          <w:tcPr>
            <w:tcW w:w="5676" w:type="dxa"/>
            <w:shd w:val="clear" w:color="auto" w:fill="0070C0"/>
          </w:tcPr>
          <w:p w14:paraId="44A1EFE8" w14:textId="77777777" w:rsidR="4EF64DD3" w:rsidRPr="004825F5" w:rsidRDefault="00F54283" w:rsidP="2A3B109C">
            <w:pPr>
              <w:jc w:val="center"/>
              <w:rPr>
                <w:rFonts w:cstheme="minorHAnsi"/>
                <w:color w:val="FFFFFF" w:themeColor="background1"/>
                <w:sz w:val="24"/>
                <w:szCs w:val="24"/>
              </w:rPr>
            </w:pPr>
            <w:r>
              <w:rPr>
                <w:rFonts w:ascii="Calibri" w:eastAsia="Calibri" w:hAnsi="Calibri" w:cs="Calibri"/>
                <w:color w:val="FFFFFF"/>
                <w:sz w:val="24"/>
                <w:szCs w:val="24"/>
                <w:bdr w:val="nil"/>
                <w:lang w:val="es-ES_tradnl"/>
              </w:rPr>
              <w:t>Opciones de imágenes</w:t>
            </w:r>
          </w:p>
        </w:tc>
      </w:tr>
      <w:tr w:rsidR="00F1188D" w14:paraId="44A1EFEC" w14:textId="77777777" w:rsidTr="009B1E5E">
        <w:trPr>
          <w:trHeight w:val="810"/>
        </w:trPr>
        <w:tc>
          <w:tcPr>
            <w:tcW w:w="5064" w:type="dxa"/>
          </w:tcPr>
          <w:p w14:paraId="44A1EFEA" w14:textId="77777777" w:rsidR="560A189F" w:rsidRPr="004825F5" w:rsidRDefault="00F54283" w:rsidP="2A3B109C">
            <w:pPr>
              <w:rPr>
                <w:rFonts w:cstheme="minorHAnsi"/>
              </w:rPr>
            </w:pPr>
            <w:r>
              <w:rPr>
                <w:rFonts w:ascii="Calibri" w:eastAsia="Calibri" w:hAnsi="Calibri" w:cs="Calibri"/>
                <w:bdr w:val="nil"/>
                <w:lang w:val="es-ES_tradnl"/>
              </w:rPr>
              <w:lastRenderedPageBreak/>
              <w:t>Los estafadores usan muchas tácticas para obtener su número de Medicare, así que tengan cuidado con sus trucos. Si suena demasiado bueno para ser verdad, es probable que lo sea. #MedicareFraudPreventionWeek</w:t>
            </w:r>
          </w:p>
        </w:tc>
        <w:tc>
          <w:tcPr>
            <w:tcW w:w="5676" w:type="dxa"/>
          </w:tcPr>
          <w:p w14:paraId="44A1EFEB" w14:textId="77777777" w:rsidR="2A3B109C" w:rsidRPr="004825F5" w:rsidRDefault="00F54283" w:rsidP="2A3B109C">
            <w:pPr>
              <w:rPr>
                <w:rFonts w:cstheme="minorHAnsi"/>
              </w:rPr>
            </w:pPr>
            <w:r>
              <w:rPr>
                <w:rFonts w:cstheme="minorHAnsi"/>
                <w:noProof/>
              </w:rPr>
              <w:drawing>
                <wp:inline distT="0" distB="0" distL="0" distR="0" wp14:anchorId="44A1F025" wp14:editId="221C034C">
                  <wp:extent cx="3248340" cy="3248340"/>
                  <wp:effectExtent l="0" t="0" r="9525" b="9525"/>
                  <wp:docPr id="20225121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12173"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3248340" cy="3248340"/>
                          </a:xfrm>
                          <a:prstGeom prst="rect">
                            <a:avLst/>
                          </a:prstGeom>
                          <a:noFill/>
                          <a:ln>
                            <a:noFill/>
                          </a:ln>
                        </pic:spPr>
                      </pic:pic>
                    </a:graphicData>
                  </a:graphic>
                </wp:inline>
              </w:drawing>
            </w:r>
          </w:p>
        </w:tc>
      </w:tr>
      <w:tr w:rsidR="00F1188D" w14:paraId="44A1EFEF" w14:textId="77777777" w:rsidTr="009B1E5E">
        <w:trPr>
          <w:trHeight w:val="810"/>
        </w:trPr>
        <w:tc>
          <w:tcPr>
            <w:tcW w:w="5064" w:type="dxa"/>
          </w:tcPr>
          <w:p w14:paraId="44A1EFED" w14:textId="77777777" w:rsidR="69E57867" w:rsidRPr="004825F5" w:rsidRDefault="00F54283" w:rsidP="2A3B109C">
            <w:pPr>
              <w:rPr>
                <w:rFonts w:cstheme="minorHAnsi"/>
              </w:rPr>
            </w:pPr>
            <w:proofErr w:type="spellStart"/>
            <w:r w:rsidRPr="00825BF2">
              <w:rPr>
                <w:rFonts w:ascii="Calibri" w:eastAsia="Calibri" w:hAnsi="Calibri" w:cs="Calibri"/>
                <w:bdr w:val="nil"/>
              </w:rPr>
              <w:t>Podrían</w:t>
            </w:r>
            <w:proofErr w:type="spellEnd"/>
            <w:r w:rsidRPr="00825BF2">
              <w:rPr>
                <w:rFonts w:ascii="Calibri" w:eastAsia="Calibri" w:hAnsi="Calibri" w:cs="Calibri"/>
                <w:bdr w:val="nil"/>
              </w:rPr>
              <w:t xml:space="preserve"> </w:t>
            </w:r>
            <w:proofErr w:type="spellStart"/>
            <w:r w:rsidRPr="00825BF2">
              <w:rPr>
                <w:rFonts w:ascii="Calibri" w:eastAsia="Calibri" w:hAnsi="Calibri" w:cs="Calibri"/>
                <w:bdr w:val="nil"/>
              </w:rPr>
              <w:t>ofrecerle</w:t>
            </w:r>
            <w:proofErr w:type="spellEnd"/>
            <w:r w:rsidRPr="00825BF2">
              <w:rPr>
                <w:rFonts w:ascii="Calibri" w:eastAsia="Calibri" w:hAnsi="Calibri" w:cs="Calibri"/>
                <w:bdr w:val="nil"/>
              </w:rPr>
              <w:t xml:space="preserve"> </w:t>
            </w:r>
            <w:proofErr w:type="spellStart"/>
            <w:r w:rsidRPr="00825BF2">
              <w:rPr>
                <w:rFonts w:ascii="Calibri" w:eastAsia="Calibri" w:hAnsi="Calibri" w:cs="Calibri"/>
                <w:bdr w:val="nil"/>
              </w:rPr>
              <w:t>productos</w:t>
            </w:r>
            <w:proofErr w:type="spellEnd"/>
            <w:r w:rsidRPr="00825BF2">
              <w:rPr>
                <w:rFonts w:ascii="Calibri" w:eastAsia="Calibri" w:hAnsi="Calibri" w:cs="Calibri"/>
                <w:bdr w:val="nil"/>
              </w:rPr>
              <w:t xml:space="preserve"> "</w:t>
            </w:r>
            <w:proofErr w:type="spellStart"/>
            <w:r w:rsidRPr="00825BF2">
              <w:rPr>
                <w:rFonts w:ascii="Calibri" w:eastAsia="Calibri" w:hAnsi="Calibri" w:cs="Calibri"/>
                <w:i/>
                <w:iCs/>
                <w:bdr w:val="nil"/>
              </w:rPr>
              <w:t>gratuitos</w:t>
            </w:r>
            <w:proofErr w:type="spellEnd"/>
            <w:r w:rsidRPr="00825BF2">
              <w:rPr>
                <w:rFonts w:ascii="Calibri" w:eastAsia="Calibri" w:hAnsi="Calibri" w:cs="Calibri"/>
                <w:bdr w:val="nil"/>
              </w:rPr>
              <w:t xml:space="preserve">", </w:t>
            </w:r>
            <w:proofErr w:type="spellStart"/>
            <w:r w:rsidRPr="00825BF2">
              <w:rPr>
                <w:rFonts w:ascii="Calibri" w:eastAsia="Calibri" w:hAnsi="Calibri" w:cs="Calibri"/>
                <w:bdr w:val="nil"/>
              </w:rPr>
              <w:t>como</w:t>
            </w:r>
            <w:proofErr w:type="spellEnd"/>
            <w:r w:rsidRPr="00825BF2">
              <w:rPr>
                <w:rFonts w:ascii="Calibri" w:eastAsia="Calibri" w:hAnsi="Calibri" w:cs="Calibri"/>
                <w:bdr w:val="nil"/>
              </w:rPr>
              <w:t xml:space="preserve"> </w:t>
            </w:r>
            <w:proofErr w:type="spellStart"/>
            <w:r w:rsidRPr="00825BF2">
              <w:rPr>
                <w:rFonts w:ascii="Calibri" w:eastAsia="Calibri" w:hAnsi="Calibri" w:cs="Calibri"/>
                <w:bdr w:val="nil"/>
              </w:rPr>
              <w:t>soportes</w:t>
            </w:r>
            <w:proofErr w:type="spellEnd"/>
            <w:r w:rsidRPr="00825BF2">
              <w:rPr>
                <w:rFonts w:ascii="Calibri" w:eastAsia="Calibri" w:hAnsi="Calibri" w:cs="Calibri"/>
                <w:bdr w:val="nil"/>
              </w:rPr>
              <w:t xml:space="preserve"> de </w:t>
            </w:r>
            <w:proofErr w:type="spellStart"/>
            <w:r w:rsidRPr="00825BF2">
              <w:rPr>
                <w:rFonts w:ascii="Calibri" w:eastAsia="Calibri" w:hAnsi="Calibri" w:cs="Calibri"/>
                <w:bdr w:val="nil"/>
              </w:rPr>
              <w:t>espalda</w:t>
            </w:r>
            <w:proofErr w:type="spellEnd"/>
            <w:r w:rsidRPr="00825BF2">
              <w:rPr>
                <w:rFonts w:ascii="Calibri" w:eastAsia="Calibri" w:hAnsi="Calibri" w:cs="Calibri"/>
                <w:bdr w:val="nil"/>
              </w:rPr>
              <w:t xml:space="preserve"> o </w:t>
            </w:r>
            <w:proofErr w:type="spellStart"/>
            <w:r w:rsidRPr="00825BF2">
              <w:rPr>
                <w:rFonts w:ascii="Calibri" w:eastAsia="Calibri" w:hAnsi="Calibri" w:cs="Calibri"/>
                <w:bdr w:val="nil"/>
              </w:rPr>
              <w:t>rodilleras</w:t>
            </w:r>
            <w:proofErr w:type="spellEnd"/>
            <w:r w:rsidRPr="00825BF2">
              <w:rPr>
                <w:rFonts w:ascii="Calibri" w:eastAsia="Calibri" w:hAnsi="Calibri" w:cs="Calibri"/>
                <w:bdr w:val="nil"/>
              </w:rPr>
              <w:t xml:space="preserve">, </w:t>
            </w:r>
            <w:proofErr w:type="spellStart"/>
            <w:r w:rsidRPr="00825BF2">
              <w:rPr>
                <w:rFonts w:ascii="Calibri" w:eastAsia="Calibri" w:hAnsi="Calibri" w:cs="Calibri"/>
                <w:bdr w:val="nil"/>
              </w:rPr>
              <w:t>alimentos</w:t>
            </w:r>
            <w:proofErr w:type="spellEnd"/>
            <w:r w:rsidRPr="00825BF2">
              <w:rPr>
                <w:rFonts w:ascii="Calibri" w:eastAsia="Calibri" w:hAnsi="Calibri" w:cs="Calibri"/>
                <w:bdr w:val="nil"/>
              </w:rPr>
              <w:t xml:space="preserve"> o </w:t>
            </w:r>
            <w:proofErr w:type="spellStart"/>
            <w:r w:rsidRPr="00825BF2">
              <w:rPr>
                <w:rFonts w:ascii="Calibri" w:eastAsia="Calibri" w:hAnsi="Calibri" w:cs="Calibri"/>
                <w:bdr w:val="nil"/>
              </w:rPr>
              <w:t>beneficios</w:t>
            </w:r>
            <w:proofErr w:type="spellEnd"/>
            <w:r w:rsidRPr="00825BF2">
              <w:rPr>
                <w:rFonts w:ascii="Calibri" w:eastAsia="Calibri" w:hAnsi="Calibri" w:cs="Calibri"/>
                <w:bdr w:val="nil"/>
              </w:rPr>
              <w:t xml:space="preserve"> </w:t>
            </w:r>
            <w:proofErr w:type="spellStart"/>
            <w:r w:rsidRPr="00825BF2">
              <w:rPr>
                <w:rFonts w:ascii="Calibri" w:eastAsia="Calibri" w:hAnsi="Calibri" w:cs="Calibri"/>
                <w:bdr w:val="nil"/>
              </w:rPr>
              <w:t>adicionales</w:t>
            </w:r>
            <w:proofErr w:type="spellEnd"/>
            <w:r w:rsidRPr="00825BF2">
              <w:rPr>
                <w:rFonts w:ascii="Calibri" w:eastAsia="Calibri" w:hAnsi="Calibri" w:cs="Calibri"/>
                <w:bdr w:val="nil"/>
              </w:rPr>
              <w:t xml:space="preserve"> a </w:t>
            </w:r>
            <w:proofErr w:type="spellStart"/>
            <w:r w:rsidRPr="00825BF2">
              <w:rPr>
                <w:rFonts w:ascii="Calibri" w:eastAsia="Calibri" w:hAnsi="Calibri" w:cs="Calibri"/>
                <w:bdr w:val="nil"/>
              </w:rPr>
              <w:t>cambio</w:t>
            </w:r>
            <w:proofErr w:type="spellEnd"/>
            <w:r w:rsidRPr="00825BF2">
              <w:rPr>
                <w:rFonts w:ascii="Calibri" w:eastAsia="Calibri" w:hAnsi="Calibri" w:cs="Calibri"/>
                <w:bdr w:val="nil"/>
              </w:rPr>
              <w:t xml:space="preserve"> de </w:t>
            </w:r>
            <w:proofErr w:type="spellStart"/>
            <w:r w:rsidRPr="00825BF2">
              <w:rPr>
                <w:rFonts w:ascii="Calibri" w:eastAsia="Calibri" w:hAnsi="Calibri" w:cs="Calibri"/>
                <w:bdr w:val="nil"/>
              </w:rPr>
              <w:t>su</w:t>
            </w:r>
            <w:proofErr w:type="spellEnd"/>
            <w:r w:rsidRPr="00825BF2">
              <w:rPr>
                <w:rFonts w:ascii="Calibri" w:eastAsia="Calibri" w:hAnsi="Calibri" w:cs="Calibri"/>
                <w:bdr w:val="nil"/>
              </w:rPr>
              <w:t xml:space="preserve"> </w:t>
            </w:r>
            <w:proofErr w:type="spellStart"/>
            <w:r w:rsidRPr="00825BF2">
              <w:rPr>
                <w:rFonts w:ascii="Calibri" w:eastAsia="Calibri" w:hAnsi="Calibri" w:cs="Calibri"/>
                <w:bdr w:val="nil"/>
              </w:rPr>
              <w:t>número</w:t>
            </w:r>
            <w:proofErr w:type="spellEnd"/>
            <w:r w:rsidRPr="00825BF2">
              <w:rPr>
                <w:rFonts w:ascii="Calibri" w:eastAsia="Calibri" w:hAnsi="Calibri" w:cs="Calibri"/>
                <w:bdr w:val="nil"/>
              </w:rPr>
              <w:t xml:space="preserve"> de Medicare. </w:t>
            </w:r>
            <w:r>
              <w:rPr>
                <w:rFonts w:ascii="Calibri" w:eastAsia="Calibri" w:hAnsi="Calibri" w:cs="Calibri"/>
                <w:bdr w:val="nil"/>
                <w:lang w:val="es-ES_tradnl"/>
              </w:rPr>
              <w:t>Eso es una estafa.</w:t>
            </w:r>
          </w:p>
        </w:tc>
        <w:tc>
          <w:tcPr>
            <w:tcW w:w="5676" w:type="dxa"/>
          </w:tcPr>
          <w:p w14:paraId="44A1EFEE" w14:textId="77777777" w:rsidR="2A3B109C" w:rsidRPr="004825F5" w:rsidRDefault="00F54283" w:rsidP="2A3B109C">
            <w:pPr>
              <w:rPr>
                <w:rFonts w:cstheme="minorHAnsi"/>
              </w:rPr>
            </w:pPr>
            <w:r>
              <w:rPr>
                <w:rFonts w:eastAsia="Calibri" w:cstheme="minorHAnsi"/>
                <w:noProof/>
              </w:rPr>
              <w:drawing>
                <wp:inline distT="0" distB="0" distL="0" distR="0" wp14:anchorId="44A1F027" wp14:editId="023CC361">
                  <wp:extent cx="3197742" cy="3197742"/>
                  <wp:effectExtent l="0" t="0" r="3175" b="3175"/>
                  <wp:docPr id="5503739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373997"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3197742" cy="3197742"/>
                          </a:xfrm>
                          <a:prstGeom prst="rect">
                            <a:avLst/>
                          </a:prstGeom>
                          <a:noFill/>
                          <a:ln>
                            <a:noFill/>
                          </a:ln>
                        </pic:spPr>
                      </pic:pic>
                    </a:graphicData>
                  </a:graphic>
                </wp:inline>
              </w:drawing>
            </w:r>
          </w:p>
        </w:tc>
      </w:tr>
      <w:tr w:rsidR="00F1188D" w14:paraId="44A1EFF2" w14:textId="77777777" w:rsidTr="009B1E5E">
        <w:trPr>
          <w:trHeight w:val="810"/>
        </w:trPr>
        <w:tc>
          <w:tcPr>
            <w:tcW w:w="5064" w:type="dxa"/>
          </w:tcPr>
          <w:p w14:paraId="44A1EFF0" w14:textId="77777777" w:rsidR="00B018F6" w:rsidRPr="004825F5" w:rsidRDefault="00F54283" w:rsidP="00B018F6">
            <w:pPr>
              <w:rPr>
                <w:rFonts w:eastAsia="Calibri" w:cstheme="minorHAnsi"/>
              </w:rPr>
            </w:pPr>
            <w:r>
              <w:rPr>
                <w:rFonts w:ascii="Calibri" w:eastAsia="Calibri" w:hAnsi="Calibri" w:cs="Calibri"/>
                <w:bdr w:val="nil"/>
                <w:lang w:val="es-ES_tradnl"/>
              </w:rPr>
              <w:lastRenderedPageBreak/>
              <w:t>Familiares y cuidadores, ayuden a proteger a sus seres queridos contra el fraude. Hable con las personas mayores en su vida sobre proteger su número de Medicare como lo harían con el número de una cuenta bancaria. #MedicareFraudPreventionWeek</w:t>
            </w:r>
          </w:p>
        </w:tc>
        <w:tc>
          <w:tcPr>
            <w:tcW w:w="5676" w:type="dxa"/>
          </w:tcPr>
          <w:p w14:paraId="44A1EFF1" w14:textId="77777777" w:rsidR="00B018F6" w:rsidRDefault="00F54283" w:rsidP="00B018F6">
            <w:pPr>
              <w:rPr>
                <w:rFonts w:eastAsia="Calibri" w:cstheme="minorHAnsi"/>
                <w:noProof/>
              </w:rPr>
            </w:pPr>
            <w:r>
              <w:rPr>
                <w:rFonts w:cstheme="minorHAnsi"/>
                <w:noProof/>
              </w:rPr>
              <w:drawing>
                <wp:inline distT="0" distB="0" distL="0" distR="0" wp14:anchorId="44A1F029" wp14:editId="107E67E9">
                  <wp:extent cx="3379304" cy="3379304"/>
                  <wp:effectExtent l="0" t="0" r="0" b="0"/>
                  <wp:docPr id="7560391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03913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384213" cy="3384213"/>
                          </a:xfrm>
                          <a:prstGeom prst="rect">
                            <a:avLst/>
                          </a:prstGeom>
                          <a:noFill/>
                          <a:ln>
                            <a:noFill/>
                          </a:ln>
                        </pic:spPr>
                      </pic:pic>
                    </a:graphicData>
                  </a:graphic>
                </wp:inline>
              </w:drawing>
            </w:r>
          </w:p>
        </w:tc>
      </w:tr>
      <w:tr w:rsidR="00F1188D" w14:paraId="44A1EFF7" w14:textId="77777777" w:rsidTr="009B1E5E">
        <w:trPr>
          <w:trHeight w:val="810"/>
        </w:trPr>
        <w:tc>
          <w:tcPr>
            <w:tcW w:w="5064" w:type="dxa"/>
          </w:tcPr>
          <w:p w14:paraId="44A1EFF3" w14:textId="77777777" w:rsidR="00B018F6" w:rsidRPr="004C46AC" w:rsidRDefault="00F54283" w:rsidP="00B018F6">
            <w:pPr>
              <w:rPr>
                <w:rFonts w:eastAsia="Calibri" w:cstheme="minorHAnsi"/>
                <w:lang w:val="es-419"/>
              </w:rPr>
            </w:pPr>
            <w:r>
              <w:rPr>
                <w:rFonts w:ascii="Calibri" w:eastAsia="Calibri" w:hAnsi="Calibri" w:cs="Calibri"/>
                <w:bdr w:val="nil"/>
                <w:lang w:val="es-ES_tradnl"/>
              </w:rPr>
              <w:t xml:space="preserve">Compartir momentos divertidos con la familia es importante. Compartir los números de Medicare con personas que los piden por teléfono, correo electrónico o en la puerta es riesgoso. </w:t>
            </w:r>
          </w:p>
          <w:p w14:paraId="44A1EFF4" w14:textId="77777777" w:rsidR="00B018F6" w:rsidRPr="004C46AC" w:rsidRDefault="00B018F6" w:rsidP="00B018F6">
            <w:pPr>
              <w:rPr>
                <w:rFonts w:eastAsia="Calibri" w:cstheme="minorHAnsi"/>
                <w:lang w:val="es-419"/>
              </w:rPr>
            </w:pPr>
          </w:p>
          <w:p w14:paraId="44A1EFF5" w14:textId="77777777" w:rsidR="00B018F6" w:rsidRDefault="00F54283" w:rsidP="00B018F6">
            <w:pPr>
              <w:rPr>
                <w:rFonts w:eastAsia="Calibri" w:cstheme="minorHAnsi"/>
              </w:rPr>
            </w:pPr>
            <w:r>
              <w:rPr>
                <w:rFonts w:ascii="Calibri" w:eastAsia="Calibri" w:hAnsi="Calibri" w:cs="Calibri"/>
                <w:bdr w:val="nil"/>
                <w:lang w:val="es-ES_tradnl"/>
              </w:rPr>
              <w:t>Si tiene un familiar o cuida a alguien mayor de 65 años, hable con ellos sobre nunca compartir su número de Medicare con peticiones no solicitadas. Es probable que esto sea una estafa y resulte en un robo de identidad médica. #MedicareFraudPreventionWeek #MFPW</w:t>
            </w:r>
          </w:p>
        </w:tc>
        <w:tc>
          <w:tcPr>
            <w:tcW w:w="5676" w:type="dxa"/>
          </w:tcPr>
          <w:p w14:paraId="44A1EFF6" w14:textId="77777777" w:rsidR="00B018F6" w:rsidRDefault="00F54283" w:rsidP="00B018F6">
            <w:pPr>
              <w:rPr>
                <w:rFonts w:cstheme="minorHAnsi"/>
                <w:noProof/>
              </w:rPr>
            </w:pPr>
            <w:r>
              <w:rPr>
                <w:rFonts w:cstheme="minorHAnsi"/>
                <w:noProof/>
              </w:rPr>
              <w:drawing>
                <wp:inline distT="0" distB="0" distL="0" distR="0" wp14:anchorId="44A1F02B" wp14:editId="7C8D5A9C">
                  <wp:extent cx="3428727" cy="3428727"/>
                  <wp:effectExtent l="0" t="0" r="635" b="635"/>
                  <wp:docPr id="15870151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15132"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3428727" cy="3428727"/>
                          </a:xfrm>
                          <a:prstGeom prst="rect">
                            <a:avLst/>
                          </a:prstGeom>
                          <a:noFill/>
                          <a:ln>
                            <a:noFill/>
                          </a:ln>
                        </pic:spPr>
                      </pic:pic>
                    </a:graphicData>
                  </a:graphic>
                </wp:inline>
              </w:drawing>
            </w:r>
          </w:p>
        </w:tc>
      </w:tr>
      <w:tr w:rsidR="00F1188D" w14:paraId="44A1EFFA" w14:textId="77777777" w:rsidTr="009B1E5E">
        <w:trPr>
          <w:trHeight w:val="810"/>
        </w:trPr>
        <w:tc>
          <w:tcPr>
            <w:tcW w:w="5064" w:type="dxa"/>
          </w:tcPr>
          <w:p w14:paraId="44A1EFF8" w14:textId="77777777" w:rsidR="00B018F6" w:rsidRDefault="00F54283" w:rsidP="00B018F6">
            <w:pPr>
              <w:rPr>
                <w:rFonts w:eastAsia="Calibri" w:cstheme="minorHAnsi"/>
              </w:rPr>
            </w:pPr>
            <w:r>
              <w:rPr>
                <w:rFonts w:ascii="Calibri" w:eastAsia="Calibri" w:hAnsi="Calibri" w:cs="Calibri"/>
                <w:bdr w:val="nil"/>
                <w:lang w:val="es-ES_tradnl"/>
              </w:rPr>
              <w:lastRenderedPageBreak/>
              <w:t>Agencias asociadas, ¡celebren la Semana de Prevención del Fraude contra Medicare compartiendo información de la SMP en las redes sociales y remitan a sus clientes y consumidores a la SMP! Todos podemos trabajar juntos para detener el fraude contra Medicare. #MedicareFraudPreventionWeek #MFPW</w:t>
            </w:r>
          </w:p>
        </w:tc>
        <w:tc>
          <w:tcPr>
            <w:tcW w:w="5676" w:type="dxa"/>
          </w:tcPr>
          <w:p w14:paraId="44A1EFF9" w14:textId="77777777" w:rsidR="00B018F6" w:rsidRDefault="00F54283" w:rsidP="00B018F6">
            <w:pPr>
              <w:rPr>
                <w:rFonts w:cstheme="minorHAnsi"/>
                <w:noProof/>
              </w:rPr>
            </w:pPr>
            <w:r>
              <w:rPr>
                <w:rFonts w:eastAsia="Calibri" w:cstheme="minorHAnsi"/>
                <w:noProof/>
              </w:rPr>
              <w:drawing>
                <wp:inline distT="0" distB="0" distL="0" distR="0" wp14:anchorId="44A1F02D" wp14:editId="009E67DE">
                  <wp:extent cx="3441455" cy="3441455"/>
                  <wp:effectExtent l="0" t="0" r="6985" b="6985"/>
                  <wp:docPr id="153966090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60903"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441455" cy="3441455"/>
                          </a:xfrm>
                          <a:prstGeom prst="rect">
                            <a:avLst/>
                          </a:prstGeom>
                          <a:noFill/>
                          <a:ln>
                            <a:noFill/>
                          </a:ln>
                        </pic:spPr>
                      </pic:pic>
                    </a:graphicData>
                  </a:graphic>
                </wp:inline>
              </w:drawing>
            </w:r>
          </w:p>
        </w:tc>
      </w:tr>
      <w:tr w:rsidR="00F1188D" w14:paraId="44A1EFFD" w14:textId="77777777" w:rsidTr="009B1E5E">
        <w:trPr>
          <w:trHeight w:val="810"/>
        </w:trPr>
        <w:tc>
          <w:tcPr>
            <w:tcW w:w="5064" w:type="dxa"/>
          </w:tcPr>
          <w:p w14:paraId="44A1EFFB" w14:textId="77777777" w:rsidR="00B018F6" w:rsidRDefault="00F54283" w:rsidP="00B018F6">
            <w:pPr>
              <w:rPr>
                <w:rFonts w:eastAsia="Calibri" w:cstheme="minorHAnsi"/>
              </w:rPr>
            </w:pPr>
            <w:r>
              <w:rPr>
                <w:rFonts w:ascii="Calibri" w:eastAsia="Calibri" w:hAnsi="Calibri" w:cs="Calibri"/>
                <w:bdr w:val="nil"/>
                <w:lang w:val="es-ES_tradnl"/>
              </w:rPr>
              <w:t>¿Trabajan con personas de 65 años o más? A la SMP le encantaría venir a hablar con ellas sobre cómo prevenir, detectar y reportar el fraude, los errores y el abuso contra Medicare. #MedicareFraudPreventionWeek #MFPW</w:t>
            </w:r>
          </w:p>
        </w:tc>
        <w:tc>
          <w:tcPr>
            <w:tcW w:w="5676" w:type="dxa"/>
          </w:tcPr>
          <w:p w14:paraId="44A1EFFC" w14:textId="77777777" w:rsidR="00B018F6" w:rsidRDefault="00F54283" w:rsidP="00B018F6">
            <w:pPr>
              <w:rPr>
                <w:rFonts w:cstheme="minorHAnsi"/>
                <w:noProof/>
              </w:rPr>
            </w:pPr>
            <w:r>
              <w:rPr>
                <w:rFonts w:cstheme="minorHAnsi"/>
                <w:noProof/>
              </w:rPr>
              <w:drawing>
                <wp:inline distT="0" distB="0" distL="0" distR="0" wp14:anchorId="44A1F02F" wp14:editId="1EF3D67D">
                  <wp:extent cx="3416307" cy="3416307"/>
                  <wp:effectExtent l="0" t="0" r="0" b="0"/>
                  <wp:docPr id="13896094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609438"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3416307" cy="3416307"/>
                          </a:xfrm>
                          <a:prstGeom prst="rect">
                            <a:avLst/>
                          </a:prstGeom>
                          <a:noFill/>
                          <a:ln>
                            <a:noFill/>
                          </a:ln>
                        </pic:spPr>
                      </pic:pic>
                    </a:graphicData>
                  </a:graphic>
                </wp:inline>
              </w:drawing>
            </w:r>
          </w:p>
        </w:tc>
      </w:tr>
      <w:tr w:rsidR="00F1188D" w14:paraId="44A1F000" w14:textId="77777777" w:rsidTr="009B1E5E">
        <w:trPr>
          <w:trHeight w:val="810"/>
        </w:trPr>
        <w:tc>
          <w:tcPr>
            <w:tcW w:w="5064" w:type="dxa"/>
          </w:tcPr>
          <w:p w14:paraId="44A1EFFE" w14:textId="77777777" w:rsidR="00A9694D" w:rsidRDefault="00F54283" w:rsidP="00B018F6">
            <w:pPr>
              <w:rPr>
                <w:rFonts w:eastAsia="Calibri" w:cstheme="minorHAnsi"/>
              </w:rPr>
            </w:pPr>
            <w:r>
              <w:rPr>
                <w:rFonts w:ascii="Calibri" w:eastAsia="Calibri" w:hAnsi="Calibri" w:cs="Calibri"/>
                <w:bdr w:val="nil"/>
                <w:lang w:val="es-ES_tradnl"/>
              </w:rPr>
              <w:lastRenderedPageBreak/>
              <w:t>Profesional de atención de salud, tenga cuidado con las solicitudes por fax de DME, HIPAA, notas de pacientes u otros artículos o servicios sobre los que no haya hablado con su paciente. Los estafadores están contando con que su consultorio esté ocupado y que las aprueben rápidamente sin consultar primero al paciente. #MedicareFraudPreventionWeek #MFPW</w:t>
            </w:r>
          </w:p>
        </w:tc>
        <w:tc>
          <w:tcPr>
            <w:tcW w:w="5676" w:type="dxa"/>
          </w:tcPr>
          <w:p w14:paraId="44A1EFFF" w14:textId="77777777" w:rsidR="00A9694D" w:rsidRDefault="00F54283" w:rsidP="00B018F6">
            <w:pPr>
              <w:rPr>
                <w:rFonts w:cstheme="minorHAnsi"/>
                <w:noProof/>
              </w:rPr>
            </w:pPr>
            <w:r>
              <w:rPr>
                <w:rFonts w:cstheme="minorHAnsi"/>
                <w:noProof/>
              </w:rPr>
              <w:drawing>
                <wp:inline distT="0" distB="0" distL="0" distR="0" wp14:anchorId="44A1F031" wp14:editId="2F8ED01C">
                  <wp:extent cx="3449886" cy="3449886"/>
                  <wp:effectExtent l="0" t="0" r="0" b="0"/>
                  <wp:docPr id="9976329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32924" name="Picture 1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49886" cy="3449886"/>
                          </a:xfrm>
                          <a:prstGeom prst="rect">
                            <a:avLst/>
                          </a:prstGeom>
                        </pic:spPr>
                      </pic:pic>
                    </a:graphicData>
                  </a:graphic>
                </wp:inline>
              </w:drawing>
            </w:r>
          </w:p>
        </w:tc>
      </w:tr>
      <w:tr w:rsidR="00F1188D" w14:paraId="44A1F005" w14:textId="77777777" w:rsidTr="009B1E5E">
        <w:trPr>
          <w:trHeight w:val="810"/>
        </w:trPr>
        <w:tc>
          <w:tcPr>
            <w:tcW w:w="5064" w:type="dxa"/>
          </w:tcPr>
          <w:p w14:paraId="44A1F001" w14:textId="77777777" w:rsidR="009B1E5E" w:rsidRPr="004C46AC" w:rsidRDefault="00F54283" w:rsidP="00B018F6">
            <w:pPr>
              <w:rPr>
                <w:rFonts w:eastAsia="Calibri" w:cstheme="minorHAnsi"/>
                <w:lang w:val="es-419"/>
              </w:rPr>
            </w:pPr>
            <w:r>
              <w:rPr>
                <w:rFonts w:ascii="Calibri" w:eastAsia="Calibri" w:hAnsi="Calibri" w:cs="Calibri"/>
                <w:bdr w:val="nil"/>
                <w:lang w:val="es-ES_tradnl"/>
              </w:rPr>
              <w:t xml:space="preserve">Hable con sus pacientes sobre las estafas médicas comunes, relacionadas con, por ejemplo, soportes de espalda y rodilleras, pruebas genéticas, catéteres urinarios y tarjetas de plástico de Medicare. Como una fuente de confianza, usted puede ayudarles a aprender sobre las estafas y a proteger su identidad médica. </w:t>
            </w:r>
          </w:p>
          <w:p w14:paraId="44A1F002" w14:textId="77777777" w:rsidR="009B1E5E" w:rsidRPr="004C46AC" w:rsidRDefault="009B1E5E" w:rsidP="00B018F6">
            <w:pPr>
              <w:rPr>
                <w:rFonts w:eastAsia="Calibri" w:cstheme="minorHAnsi"/>
                <w:lang w:val="es-419"/>
              </w:rPr>
            </w:pPr>
          </w:p>
          <w:p w14:paraId="44A1F003" w14:textId="77777777" w:rsidR="009B1E5E" w:rsidRDefault="00F54283" w:rsidP="00B018F6">
            <w:pPr>
              <w:rPr>
                <w:rFonts w:eastAsia="Calibri" w:cstheme="minorHAnsi"/>
              </w:rPr>
            </w:pPr>
            <w:r>
              <w:rPr>
                <w:rFonts w:ascii="Calibri" w:eastAsia="Calibri" w:hAnsi="Calibri" w:cs="Calibri"/>
                <w:bdr w:val="nil"/>
                <w:lang w:val="es-ES_tradnl"/>
              </w:rPr>
              <w:t>#MedicareFraudPreventionWeek #MFPW</w:t>
            </w:r>
          </w:p>
        </w:tc>
        <w:tc>
          <w:tcPr>
            <w:tcW w:w="5676" w:type="dxa"/>
          </w:tcPr>
          <w:p w14:paraId="44A1F004" w14:textId="77777777" w:rsidR="009B1E5E" w:rsidRDefault="00F54283" w:rsidP="00B018F6">
            <w:pPr>
              <w:rPr>
                <w:rFonts w:cstheme="minorHAnsi"/>
                <w:noProof/>
              </w:rPr>
            </w:pPr>
            <w:r>
              <w:rPr>
                <w:rFonts w:cstheme="minorHAnsi"/>
                <w:noProof/>
              </w:rPr>
              <w:drawing>
                <wp:inline distT="0" distB="0" distL="0" distR="0" wp14:anchorId="44A1F033" wp14:editId="57BE384A">
                  <wp:extent cx="3468722" cy="3468722"/>
                  <wp:effectExtent l="0" t="0" r="0" b="0"/>
                  <wp:docPr id="11754883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488383"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3468722" cy="3468722"/>
                          </a:xfrm>
                          <a:prstGeom prst="rect">
                            <a:avLst/>
                          </a:prstGeom>
                          <a:noFill/>
                          <a:ln>
                            <a:noFill/>
                          </a:ln>
                        </pic:spPr>
                      </pic:pic>
                    </a:graphicData>
                  </a:graphic>
                </wp:inline>
              </w:drawing>
            </w:r>
          </w:p>
        </w:tc>
      </w:tr>
      <w:tr w:rsidR="00F1188D" w14:paraId="44A1F00B" w14:textId="77777777" w:rsidTr="009B1E5E">
        <w:trPr>
          <w:trHeight w:val="810"/>
        </w:trPr>
        <w:tc>
          <w:tcPr>
            <w:tcW w:w="5064" w:type="dxa"/>
          </w:tcPr>
          <w:p w14:paraId="44A1F006" w14:textId="77777777" w:rsidR="008259A5" w:rsidRPr="004C46AC" w:rsidRDefault="00F54283" w:rsidP="008259A5">
            <w:pPr>
              <w:rPr>
                <w:lang w:val="es-419"/>
              </w:rPr>
            </w:pPr>
            <w:r>
              <w:rPr>
                <w:rFonts w:ascii="Calibri" w:eastAsia="Calibri" w:hAnsi="Calibri" w:cs="Calibri"/>
                <w:bdr w:val="nil"/>
                <w:lang w:val="es-ES_tradnl"/>
              </w:rPr>
              <w:lastRenderedPageBreak/>
              <w:t xml:space="preserve">Como comunidad, todos podemos participar en la Semana de Prevención del Fraude contra Medicare cuidando de nuestros vecinos y miembros de la comunidad de mayor edad. </w:t>
            </w:r>
          </w:p>
          <w:p w14:paraId="44A1F007" w14:textId="77777777" w:rsidR="008259A5" w:rsidRPr="004C46AC" w:rsidRDefault="008259A5" w:rsidP="008259A5">
            <w:pPr>
              <w:rPr>
                <w:lang w:val="es-419"/>
              </w:rPr>
            </w:pPr>
          </w:p>
          <w:p w14:paraId="44A1F008" w14:textId="77777777" w:rsidR="008259A5" w:rsidRDefault="00F54283" w:rsidP="008259A5">
            <w:r>
              <w:rPr>
                <w:rFonts w:ascii="Calibri" w:eastAsia="Calibri" w:hAnsi="Calibri" w:cs="Calibri"/>
                <w:bdr w:val="nil"/>
                <w:lang w:val="es-ES_tradnl"/>
              </w:rPr>
              <w:t>Por ejemplo, cuando esté en espacios públicos, ponga atención a los adultos mayores que estén comprando tarjetas de regalo en grandes cantidades. Si ve esto, haga preguntas o mencione las estafas de tarjetas de regalo. Muchas personas han ayudado a detener una estafa al intervenir y hacer preguntas. #MedicareFraudPreventionWeek #MFPW</w:t>
            </w:r>
          </w:p>
          <w:p w14:paraId="44A1F009" w14:textId="77777777" w:rsidR="009B1E5E" w:rsidRPr="009B1E5E" w:rsidRDefault="009B1E5E" w:rsidP="00B018F6">
            <w:pPr>
              <w:rPr>
                <w:rFonts w:eastAsia="Calibri" w:cstheme="minorHAnsi"/>
              </w:rPr>
            </w:pPr>
          </w:p>
        </w:tc>
        <w:tc>
          <w:tcPr>
            <w:tcW w:w="5676" w:type="dxa"/>
          </w:tcPr>
          <w:p w14:paraId="44A1F00A" w14:textId="77777777" w:rsidR="009B1E5E" w:rsidRDefault="00F54283" w:rsidP="00B018F6">
            <w:pPr>
              <w:rPr>
                <w:rFonts w:cstheme="minorHAnsi"/>
                <w:noProof/>
              </w:rPr>
            </w:pPr>
            <w:r>
              <w:rPr>
                <w:rFonts w:cstheme="minorHAnsi"/>
                <w:noProof/>
              </w:rPr>
              <w:drawing>
                <wp:inline distT="0" distB="0" distL="0" distR="0" wp14:anchorId="44A1F035" wp14:editId="3209E64B">
                  <wp:extent cx="3299791" cy="3299791"/>
                  <wp:effectExtent l="0" t="0" r="0" b="0"/>
                  <wp:docPr id="15800920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092046"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3300961" cy="3300961"/>
                          </a:xfrm>
                          <a:prstGeom prst="rect">
                            <a:avLst/>
                          </a:prstGeom>
                          <a:noFill/>
                          <a:ln>
                            <a:noFill/>
                          </a:ln>
                        </pic:spPr>
                      </pic:pic>
                    </a:graphicData>
                  </a:graphic>
                </wp:inline>
              </w:drawing>
            </w:r>
          </w:p>
        </w:tc>
      </w:tr>
      <w:tr w:rsidR="00F1188D" w14:paraId="44A1F010" w14:textId="77777777" w:rsidTr="009B1E5E">
        <w:trPr>
          <w:trHeight w:val="810"/>
        </w:trPr>
        <w:tc>
          <w:tcPr>
            <w:tcW w:w="5064" w:type="dxa"/>
          </w:tcPr>
          <w:p w14:paraId="44A1F00C" w14:textId="77777777" w:rsidR="008259A5" w:rsidRPr="004C46AC" w:rsidRDefault="00F54283" w:rsidP="008259A5">
            <w:pPr>
              <w:rPr>
                <w:lang w:val="es-419"/>
              </w:rPr>
            </w:pPr>
            <w:r>
              <w:rPr>
                <w:rFonts w:ascii="Calibri" w:eastAsia="Calibri" w:hAnsi="Calibri" w:cs="Calibri"/>
                <w:bdr w:val="nil"/>
                <w:lang w:val="es-ES_tradnl"/>
              </w:rPr>
              <w:t xml:space="preserve">Como comunidad, ¿cómo puede ayudar a prevenir un fraude, error o abuso contra Medicare? </w:t>
            </w:r>
          </w:p>
          <w:p w14:paraId="44A1F00D" w14:textId="77777777" w:rsidR="008259A5" w:rsidRPr="004C46AC" w:rsidRDefault="008259A5" w:rsidP="008259A5">
            <w:pPr>
              <w:rPr>
                <w:lang w:val="es-419"/>
              </w:rPr>
            </w:pPr>
          </w:p>
          <w:p w14:paraId="44A1F00E" w14:textId="77777777" w:rsidR="008259A5" w:rsidRDefault="00F54283" w:rsidP="008259A5">
            <w:r>
              <w:rPr>
                <w:rFonts w:ascii="Calibri" w:eastAsia="Calibri" w:hAnsi="Calibri" w:cs="Calibri"/>
                <w:bdr w:val="nil"/>
                <w:lang w:val="es-ES_tradnl"/>
              </w:rPr>
              <w:t>Si está en un lugar público y escucha a alguien hablar sobre Medicare, no dude en ofrecer información sobre la SMP y el SHIP. Estos son programas gubernamentales imparciales y de confianza que ayudan a beneficiarios, familias y cuidadores de Medicare. #MFPW #MFPWcommunity</w:t>
            </w:r>
          </w:p>
        </w:tc>
        <w:tc>
          <w:tcPr>
            <w:tcW w:w="5676" w:type="dxa"/>
          </w:tcPr>
          <w:p w14:paraId="44A1F00F" w14:textId="77777777" w:rsidR="008259A5" w:rsidRDefault="00F54283" w:rsidP="00B018F6">
            <w:pPr>
              <w:rPr>
                <w:rFonts w:cstheme="minorHAnsi"/>
                <w:noProof/>
              </w:rPr>
            </w:pPr>
            <w:r>
              <w:rPr>
                <w:rFonts w:cstheme="minorHAnsi"/>
                <w:noProof/>
              </w:rPr>
              <w:drawing>
                <wp:inline distT="0" distB="0" distL="0" distR="0" wp14:anchorId="44A1F037" wp14:editId="7DA15A15">
                  <wp:extent cx="3196424" cy="3196424"/>
                  <wp:effectExtent l="0" t="0" r="4445" b="4445"/>
                  <wp:docPr id="20120851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085139"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3201244" cy="3201244"/>
                          </a:xfrm>
                          <a:prstGeom prst="rect">
                            <a:avLst/>
                          </a:prstGeom>
                          <a:noFill/>
                          <a:ln>
                            <a:noFill/>
                          </a:ln>
                        </pic:spPr>
                      </pic:pic>
                    </a:graphicData>
                  </a:graphic>
                </wp:inline>
              </w:drawing>
            </w:r>
          </w:p>
        </w:tc>
      </w:tr>
    </w:tbl>
    <w:bookmarkEnd w:id="4"/>
    <w:p w14:paraId="44A1F011" w14:textId="77777777" w:rsidR="009E3A4E" w:rsidRPr="00EA7561" w:rsidRDefault="00F54283" w:rsidP="00283B91">
      <w:pPr>
        <w:spacing w:after="0"/>
        <w:jc w:val="center"/>
        <w:rPr>
          <w:lang w:val="es-ES"/>
        </w:rPr>
      </w:pPr>
      <w:r>
        <w:fldChar w:fldCharType="begin"/>
      </w:r>
      <w:r w:rsidR="00F744DD" w:rsidRPr="00EA7561">
        <w:rPr>
          <w:lang w:val="es-ES"/>
        </w:rPr>
        <w:instrText>HYPERLINK  \l "Top"</w:instrText>
      </w:r>
      <w:r>
        <w:fldChar w:fldCharType="separate"/>
      </w:r>
      <w:r>
        <w:rPr>
          <w:rFonts w:ascii="Calibri" w:eastAsia="Calibri" w:hAnsi="Calibri" w:cs="Calibri"/>
          <w:color w:val="0563C1"/>
          <w:u w:val="single"/>
          <w:bdr w:val="nil"/>
          <w:lang w:val="es-ES_tradnl"/>
        </w:rPr>
        <w:t>Regresar al inicio</w:t>
      </w:r>
      <w:r>
        <w:rPr>
          <w:rStyle w:val="Hyperlink"/>
        </w:rPr>
        <w:fldChar w:fldCharType="end"/>
      </w:r>
    </w:p>
    <w:p w14:paraId="44A1F012" w14:textId="77777777" w:rsidR="00844FF4" w:rsidRPr="00EA7561" w:rsidRDefault="00844FF4" w:rsidP="00283B91">
      <w:pPr>
        <w:spacing w:after="0"/>
        <w:rPr>
          <w:rFonts w:ascii="Franklin Gothic Book" w:hAnsi="Franklin Gothic Book"/>
          <w:sz w:val="24"/>
          <w:szCs w:val="24"/>
          <w:lang w:val="es-ES"/>
        </w:rPr>
      </w:pPr>
      <w:bookmarkStart w:id="5" w:name="Caregivers"/>
    </w:p>
    <w:bookmarkEnd w:id="5"/>
    <w:p w14:paraId="44A1F013" w14:textId="2AE94E63" w:rsidR="2A3B109C" w:rsidRPr="00EA7561" w:rsidRDefault="00EA7561" w:rsidP="00EA7561">
      <w:pPr>
        <w:spacing w:after="0"/>
        <w:jc w:val="center"/>
        <w:rPr>
          <w:rFonts w:ascii="Franklin Gothic Book" w:hAnsi="Franklin Gothic Book"/>
          <w:sz w:val="18"/>
          <w:szCs w:val="18"/>
          <w:lang w:val="es-ES"/>
        </w:rPr>
      </w:pPr>
      <w:r w:rsidRPr="00EA7561">
        <w:rPr>
          <w:rFonts w:ascii="Franklin Gothic Book" w:hAnsi="Franklin Gothic Book"/>
          <w:sz w:val="18"/>
          <w:szCs w:val="18"/>
          <w:lang w:val="es-ES"/>
        </w:rPr>
        <w:t>Este producto cuenta con el apoyo de la Administración para la Vida Comunitaria (ACL) del Departamento de Salud y Servicios Humanos de los Estados Unidos (HHS) como parte de una subvención de asistencia financiera por un total de $1,500,000, con financiación total de ACL/HHS. El contenido es responsabilidad del autor o autores y no representa necesariamente la opinión oficial ni el respaldo de ACL/HHS ni del gobierno de los Estados Unidos.</w:t>
      </w:r>
    </w:p>
    <w:sectPr w:rsidR="2A3B109C" w:rsidRPr="00EA7561" w:rsidSect="002115B9">
      <w:headerReference w:type="default" r:id="rId30"/>
      <w:footerReference w:type="default" r:id="rId3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8C2E3" w14:textId="77777777" w:rsidR="00F54283" w:rsidRDefault="00F54283">
      <w:pPr>
        <w:spacing w:after="0" w:line="240" w:lineRule="auto"/>
      </w:pPr>
      <w:r>
        <w:separator/>
      </w:r>
    </w:p>
  </w:endnote>
  <w:endnote w:type="continuationSeparator" w:id="0">
    <w:p w14:paraId="256AF74F" w14:textId="77777777" w:rsidR="00F54283" w:rsidRDefault="00F54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272072"/>
      <w:docPartObj>
        <w:docPartGallery w:val="Page Numbers (Bottom of Page)"/>
        <w:docPartUnique/>
      </w:docPartObj>
    </w:sdtPr>
    <w:sdtEndPr/>
    <w:sdtContent>
      <w:sdt>
        <w:sdtPr>
          <w:id w:val="1728636285"/>
          <w:docPartObj>
            <w:docPartGallery w:val="Page Numbers (Top of Page)"/>
            <w:docPartUnique/>
          </w:docPartObj>
        </w:sdtPr>
        <w:sdtEndPr/>
        <w:sdtContent>
          <w:p w14:paraId="44A1F03B" w14:textId="77777777" w:rsidR="003C418A" w:rsidRDefault="003C418A" w:rsidP="002115B9">
            <w:pPr>
              <w:pStyle w:val="Footer"/>
              <w:pBdr>
                <w:bottom w:val="single" w:sz="6" w:space="1" w:color="auto"/>
              </w:pBdr>
              <w:jc w:val="center"/>
            </w:pPr>
          </w:p>
          <w:p w14:paraId="44A1F03C" w14:textId="77777777" w:rsidR="003C418A" w:rsidRDefault="003C418A" w:rsidP="002115B9">
            <w:pPr>
              <w:pStyle w:val="Footer"/>
              <w:jc w:val="center"/>
            </w:pPr>
          </w:p>
          <w:p w14:paraId="44A1F03D" w14:textId="77777777" w:rsidR="003C418A" w:rsidRDefault="00F54283" w:rsidP="002115B9">
            <w:pPr>
              <w:pStyle w:val="Footer"/>
              <w:jc w:val="center"/>
            </w:pPr>
            <w:r>
              <w:rPr>
                <w:rFonts w:ascii="Calibri" w:eastAsia="Calibri" w:hAnsi="Calibri" w:cs="Calibri"/>
                <w:bdr w:val="nil"/>
                <w:lang w:val="es-ES_tradnl"/>
              </w:rPr>
              <w:t xml:space="preserve">Página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rPr>
                <w:rFonts w:ascii="Calibri" w:eastAsia="Calibri" w:hAnsi="Calibri" w:cs="Calibri"/>
                <w:bdr w:val="nil"/>
                <w:lang w:val="es-ES_tradnl"/>
              </w:rPr>
              <w:t xml:space="preserve"> de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3F2EF" w14:textId="77777777" w:rsidR="00F54283" w:rsidRDefault="00F54283">
      <w:pPr>
        <w:spacing w:after="0" w:line="240" w:lineRule="auto"/>
      </w:pPr>
      <w:r>
        <w:separator/>
      </w:r>
    </w:p>
  </w:footnote>
  <w:footnote w:type="continuationSeparator" w:id="0">
    <w:p w14:paraId="4B490515" w14:textId="77777777" w:rsidR="00F54283" w:rsidRDefault="00F54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1F039" w14:textId="77777777" w:rsidR="003C418A" w:rsidRPr="004C46AC" w:rsidRDefault="00F54283" w:rsidP="002115B9">
    <w:pPr>
      <w:pStyle w:val="Header"/>
      <w:rPr>
        <w:rFonts w:ascii="Franklin Gothic Book" w:hAnsi="Franklin Gothic Book"/>
        <w:color w:val="092441"/>
        <w:sz w:val="36"/>
        <w:szCs w:val="36"/>
        <w:lang w:val="es-419"/>
      </w:rPr>
    </w:pPr>
    <w:r w:rsidRPr="002115B9">
      <w:rPr>
        <w:rFonts w:ascii="Franklin Gothic Book" w:hAnsi="Franklin Gothic Book"/>
        <w:noProof/>
        <w:color w:val="092441"/>
        <w:sz w:val="36"/>
        <w:szCs w:val="36"/>
      </w:rPr>
      <w:drawing>
        <wp:anchor distT="0" distB="0" distL="114300" distR="114300" simplePos="0" relativeHeight="251658240" behindDoc="0" locked="0" layoutInCell="1" allowOverlap="1" wp14:anchorId="44A1F03E" wp14:editId="44A1F03F">
          <wp:simplePos x="0" y="0"/>
          <wp:positionH relativeFrom="margin">
            <wp:posOffset>4616450</wp:posOffset>
          </wp:positionH>
          <wp:positionV relativeFrom="paragraph">
            <wp:posOffset>0</wp:posOffset>
          </wp:positionV>
          <wp:extent cx="2082165" cy="7118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98436"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82165" cy="7118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Franklin Gothic Book" w:eastAsia="Franklin Gothic Book" w:hAnsi="Franklin Gothic Book" w:cs="Franklin Gothic Book"/>
        <w:color w:val="092441"/>
        <w:sz w:val="36"/>
        <w:szCs w:val="36"/>
        <w:bdr w:val="nil"/>
        <w:lang w:val="es-ES_tradnl"/>
      </w:rPr>
      <w:t xml:space="preserve">Kit de herramientas para redes sociales de la </w:t>
    </w:r>
    <w:r>
      <w:rPr>
        <w:rFonts w:ascii="Calibri" w:eastAsia="Calibri" w:hAnsi="Calibri" w:cs="Calibri"/>
        <w:bdr w:val="nil"/>
        <w:lang w:val="es-ES_tradnl"/>
      </w:rPr>
      <w:br/>
    </w:r>
    <w:r>
      <w:rPr>
        <w:rFonts w:ascii="Franklin Gothic Book" w:eastAsia="Franklin Gothic Book" w:hAnsi="Franklin Gothic Book" w:cs="Franklin Gothic Book"/>
        <w:color w:val="092441"/>
        <w:sz w:val="36"/>
        <w:szCs w:val="36"/>
        <w:bdr w:val="nil"/>
        <w:lang w:val="es-ES_tradnl"/>
      </w:rPr>
      <w:t>Semana de Prevención del Fraude contra Medicare</w:t>
    </w:r>
  </w:p>
  <w:p w14:paraId="44A1F03A" w14:textId="77777777" w:rsidR="003C418A" w:rsidRPr="004C46AC" w:rsidRDefault="003C418A" w:rsidP="002115B9">
    <w:pPr>
      <w:pStyle w:val="Header"/>
      <w:rPr>
        <w:color w:val="092441"/>
        <w:sz w:val="36"/>
        <w:szCs w:val="36"/>
        <w:lang w:val="es-4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C4AC2"/>
    <w:multiLevelType w:val="hybridMultilevel"/>
    <w:tmpl w:val="490EEEFE"/>
    <w:lvl w:ilvl="0" w:tplc="E1D8A626">
      <w:start w:val="1"/>
      <w:numFmt w:val="decimal"/>
      <w:lvlText w:val="%1."/>
      <w:lvlJc w:val="left"/>
      <w:pPr>
        <w:ind w:left="720" w:hanging="360"/>
      </w:pPr>
      <w:rPr>
        <w:rFonts w:hint="default"/>
      </w:rPr>
    </w:lvl>
    <w:lvl w:ilvl="1" w:tplc="B34860D0" w:tentative="1">
      <w:start w:val="1"/>
      <w:numFmt w:val="lowerLetter"/>
      <w:lvlText w:val="%2."/>
      <w:lvlJc w:val="left"/>
      <w:pPr>
        <w:ind w:left="1440" w:hanging="360"/>
      </w:pPr>
    </w:lvl>
    <w:lvl w:ilvl="2" w:tplc="A7562D2A" w:tentative="1">
      <w:start w:val="1"/>
      <w:numFmt w:val="lowerRoman"/>
      <w:lvlText w:val="%3."/>
      <w:lvlJc w:val="right"/>
      <w:pPr>
        <w:ind w:left="2160" w:hanging="180"/>
      </w:pPr>
    </w:lvl>
    <w:lvl w:ilvl="3" w:tplc="F92EE55E" w:tentative="1">
      <w:start w:val="1"/>
      <w:numFmt w:val="decimal"/>
      <w:lvlText w:val="%4."/>
      <w:lvlJc w:val="left"/>
      <w:pPr>
        <w:ind w:left="2880" w:hanging="360"/>
      </w:pPr>
    </w:lvl>
    <w:lvl w:ilvl="4" w:tplc="FACE36AA" w:tentative="1">
      <w:start w:val="1"/>
      <w:numFmt w:val="lowerLetter"/>
      <w:lvlText w:val="%5."/>
      <w:lvlJc w:val="left"/>
      <w:pPr>
        <w:ind w:left="3600" w:hanging="360"/>
      </w:pPr>
    </w:lvl>
    <w:lvl w:ilvl="5" w:tplc="8EFAABB6" w:tentative="1">
      <w:start w:val="1"/>
      <w:numFmt w:val="lowerRoman"/>
      <w:lvlText w:val="%6."/>
      <w:lvlJc w:val="right"/>
      <w:pPr>
        <w:ind w:left="4320" w:hanging="180"/>
      </w:pPr>
    </w:lvl>
    <w:lvl w:ilvl="6" w:tplc="14C88440" w:tentative="1">
      <w:start w:val="1"/>
      <w:numFmt w:val="decimal"/>
      <w:lvlText w:val="%7."/>
      <w:lvlJc w:val="left"/>
      <w:pPr>
        <w:ind w:left="5040" w:hanging="360"/>
      </w:pPr>
    </w:lvl>
    <w:lvl w:ilvl="7" w:tplc="0CB4A1AE" w:tentative="1">
      <w:start w:val="1"/>
      <w:numFmt w:val="lowerLetter"/>
      <w:lvlText w:val="%8."/>
      <w:lvlJc w:val="left"/>
      <w:pPr>
        <w:ind w:left="5760" w:hanging="360"/>
      </w:pPr>
    </w:lvl>
    <w:lvl w:ilvl="8" w:tplc="0A8049E6" w:tentative="1">
      <w:start w:val="1"/>
      <w:numFmt w:val="lowerRoman"/>
      <w:lvlText w:val="%9."/>
      <w:lvlJc w:val="right"/>
      <w:pPr>
        <w:ind w:left="6480" w:hanging="180"/>
      </w:pPr>
    </w:lvl>
  </w:abstractNum>
  <w:abstractNum w:abstractNumId="1" w15:restartNumberingAfterBreak="0">
    <w:nsid w:val="123E17EC"/>
    <w:multiLevelType w:val="hybridMultilevel"/>
    <w:tmpl w:val="C41E558C"/>
    <w:lvl w:ilvl="0" w:tplc="5D94532E">
      <w:start w:val="1"/>
      <w:numFmt w:val="bullet"/>
      <w:lvlText w:val=""/>
      <w:lvlJc w:val="left"/>
      <w:pPr>
        <w:ind w:left="720" w:hanging="360"/>
      </w:pPr>
      <w:rPr>
        <w:rFonts w:ascii="Symbol" w:hAnsi="Symbol" w:hint="default"/>
      </w:rPr>
    </w:lvl>
    <w:lvl w:ilvl="1" w:tplc="76923036" w:tentative="1">
      <w:start w:val="1"/>
      <w:numFmt w:val="bullet"/>
      <w:lvlText w:val="o"/>
      <w:lvlJc w:val="left"/>
      <w:pPr>
        <w:ind w:left="1440" w:hanging="360"/>
      </w:pPr>
      <w:rPr>
        <w:rFonts w:ascii="Courier New" w:hAnsi="Courier New" w:cs="Courier New" w:hint="default"/>
      </w:rPr>
    </w:lvl>
    <w:lvl w:ilvl="2" w:tplc="DB747932" w:tentative="1">
      <w:start w:val="1"/>
      <w:numFmt w:val="bullet"/>
      <w:lvlText w:val=""/>
      <w:lvlJc w:val="left"/>
      <w:pPr>
        <w:ind w:left="2160" w:hanging="360"/>
      </w:pPr>
      <w:rPr>
        <w:rFonts w:ascii="Wingdings" w:hAnsi="Wingdings" w:hint="default"/>
      </w:rPr>
    </w:lvl>
    <w:lvl w:ilvl="3" w:tplc="000ABD10" w:tentative="1">
      <w:start w:val="1"/>
      <w:numFmt w:val="bullet"/>
      <w:lvlText w:val=""/>
      <w:lvlJc w:val="left"/>
      <w:pPr>
        <w:ind w:left="2880" w:hanging="360"/>
      </w:pPr>
      <w:rPr>
        <w:rFonts w:ascii="Symbol" w:hAnsi="Symbol" w:hint="default"/>
      </w:rPr>
    </w:lvl>
    <w:lvl w:ilvl="4" w:tplc="83AA8780" w:tentative="1">
      <w:start w:val="1"/>
      <w:numFmt w:val="bullet"/>
      <w:lvlText w:val="o"/>
      <w:lvlJc w:val="left"/>
      <w:pPr>
        <w:ind w:left="3600" w:hanging="360"/>
      </w:pPr>
      <w:rPr>
        <w:rFonts w:ascii="Courier New" w:hAnsi="Courier New" w:cs="Courier New" w:hint="default"/>
      </w:rPr>
    </w:lvl>
    <w:lvl w:ilvl="5" w:tplc="AA8C71A8" w:tentative="1">
      <w:start w:val="1"/>
      <w:numFmt w:val="bullet"/>
      <w:lvlText w:val=""/>
      <w:lvlJc w:val="left"/>
      <w:pPr>
        <w:ind w:left="4320" w:hanging="360"/>
      </w:pPr>
      <w:rPr>
        <w:rFonts w:ascii="Wingdings" w:hAnsi="Wingdings" w:hint="default"/>
      </w:rPr>
    </w:lvl>
    <w:lvl w:ilvl="6" w:tplc="BD144AFC" w:tentative="1">
      <w:start w:val="1"/>
      <w:numFmt w:val="bullet"/>
      <w:lvlText w:val=""/>
      <w:lvlJc w:val="left"/>
      <w:pPr>
        <w:ind w:left="5040" w:hanging="360"/>
      </w:pPr>
      <w:rPr>
        <w:rFonts w:ascii="Symbol" w:hAnsi="Symbol" w:hint="default"/>
      </w:rPr>
    </w:lvl>
    <w:lvl w:ilvl="7" w:tplc="FF70F1F0" w:tentative="1">
      <w:start w:val="1"/>
      <w:numFmt w:val="bullet"/>
      <w:lvlText w:val="o"/>
      <w:lvlJc w:val="left"/>
      <w:pPr>
        <w:ind w:left="5760" w:hanging="360"/>
      </w:pPr>
      <w:rPr>
        <w:rFonts w:ascii="Courier New" w:hAnsi="Courier New" w:cs="Courier New" w:hint="default"/>
      </w:rPr>
    </w:lvl>
    <w:lvl w:ilvl="8" w:tplc="25B623BC" w:tentative="1">
      <w:start w:val="1"/>
      <w:numFmt w:val="bullet"/>
      <w:lvlText w:val=""/>
      <w:lvlJc w:val="left"/>
      <w:pPr>
        <w:ind w:left="6480" w:hanging="360"/>
      </w:pPr>
      <w:rPr>
        <w:rFonts w:ascii="Wingdings" w:hAnsi="Wingdings" w:hint="default"/>
      </w:rPr>
    </w:lvl>
  </w:abstractNum>
  <w:abstractNum w:abstractNumId="2" w15:restartNumberingAfterBreak="0">
    <w:nsid w:val="1B76357A"/>
    <w:multiLevelType w:val="multilevel"/>
    <w:tmpl w:val="A328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196AA1"/>
    <w:multiLevelType w:val="multilevel"/>
    <w:tmpl w:val="07B4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5715C9"/>
    <w:multiLevelType w:val="hybridMultilevel"/>
    <w:tmpl w:val="D5E8B4B4"/>
    <w:lvl w:ilvl="0" w:tplc="6986D000">
      <w:start w:val="1"/>
      <w:numFmt w:val="bullet"/>
      <w:lvlText w:val=""/>
      <w:lvlJc w:val="left"/>
      <w:pPr>
        <w:ind w:left="720" w:hanging="360"/>
      </w:pPr>
      <w:rPr>
        <w:rFonts w:ascii="Symbol" w:hAnsi="Symbol" w:hint="default"/>
      </w:rPr>
    </w:lvl>
    <w:lvl w:ilvl="1" w:tplc="426A463C" w:tentative="1">
      <w:start w:val="1"/>
      <w:numFmt w:val="bullet"/>
      <w:lvlText w:val="o"/>
      <w:lvlJc w:val="left"/>
      <w:pPr>
        <w:ind w:left="1440" w:hanging="360"/>
      </w:pPr>
      <w:rPr>
        <w:rFonts w:ascii="Courier New" w:hAnsi="Courier New" w:cs="Courier New" w:hint="default"/>
      </w:rPr>
    </w:lvl>
    <w:lvl w:ilvl="2" w:tplc="B812F92C" w:tentative="1">
      <w:start w:val="1"/>
      <w:numFmt w:val="bullet"/>
      <w:lvlText w:val=""/>
      <w:lvlJc w:val="left"/>
      <w:pPr>
        <w:ind w:left="2160" w:hanging="360"/>
      </w:pPr>
      <w:rPr>
        <w:rFonts w:ascii="Wingdings" w:hAnsi="Wingdings" w:hint="default"/>
      </w:rPr>
    </w:lvl>
    <w:lvl w:ilvl="3" w:tplc="BD2A8F32" w:tentative="1">
      <w:start w:val="1"/>
      <w:numFmt w:val="bullet"/>
      <w:lvlText w:val=""/>
      <w:lvlJc w:val="left"/>
      <w:pPr>
        <w:ind w:left="2880" w:hanging="360"/>
      </w:pPr>
      <w:rPr>
        <w:rFonts w:ascii="Symbol" w:hAnsi="Symbol" w:hint="default"/>
      </w:rPr>
    </w:lvl>
    <w:lvl w:ilvl="4" w:tplc="0C462FAE" w:tentative="1">
      <w:start w:val="1"/>
      <w:numFmt w:val="bullet"/>
      <w:lvlText w:val="o"/>
      <w:lvlJc w:val="left"/>
      <w:pPr>
        <w:ind w:left="3600" w:hanging="360"/>
      </w:pPr>
      <w:rPr>
        <w:rFonts w:ascii="Courier New" w:hAnsi="Courier New" w:cs="Courier New" w:hint="default"/>
      </w:rPr>
    </w:lvl>
    <w:lvl w:ilvl="5" w:tplc="8BF6F7BE" w:tentative="1">
      <w:start w:val="1"/>
      <w:numFmt w:val="bullet"/>
      <w:lvlText w:val=""/>
      <w:lvlJc w:val="left"/>
      <w:pPr>
        <w:ind w:left="4320" w:hanging="360"/>
      </w:pPr>
      <w:rPr>
        <w:rFonts w:ascii="Wingdings" w:hAnsi="Wingdings" w:hint="default"/>
      </w:rPr>
    </w:lvl>
    <w:lvl w:ilvl="6" w:tplc="D2C686A8" w:tentative="1">
      <w:start w:val="1"/>
      <w:numFmt w:val="bullet"/>
      <w:lvlText w:val=""/>
      <w:lvlJc w:val="left"/>
      <w:pPr>
        <w:ind w:left="5040" w:hanging="360"/>
      </w:pPr>
      <w:rPr>
        <w:rFonts w:ascii="Symbol" w:hAnsi="Symbol" w:hint="default"/>
      </w:rPr>
    </w:lvl>
    <w:lvl w:ilvl="7" w:tplc="83A0134C" w:tentative="1">
      <w:start w:val="1"/>
      <w:numFmt w:val="bullet"/>
      <w:lvlText w:val="o"/>
      <w:lvlJc w:val="left"/>
      <w:pPr>
        <w:ind w:left="5760" w:hanging="360"/>
      </w:pPr>
      <w:rPr>
        <w:rFonts w:ascii="Courier New" w:hAnsi="Courier New" w:cs="Courier New" w:hint="default"/>
      </w:rPr>
    </w:lvl>
    <w:lvl w:ilvl="8" w:tplc="AC12A776" w:tentative="1">
      <w:start w:val="1"/>
      <w:numFmt w:val="bullet"/>
      <w:lvlText w:val=""/>
      <w:lvlJc w:val="left"/>
      <w:pPr>
        <w:ind w:left="6480" w:hanging="360"/>
      </w:pPr>
      <w:rPr>
        <w:rFonts w:ascii="Wingdings" w:hAnsi="Wingdings" w:hint="default"/>
      </w:rPr>
    </w:lvl>
  </w:abstractNum>
  <w:abstractNum w:abstractNumId="5" w15:restartNumberingAfterBreak="0">
    <w:nsid w:val="7DCF4C0F"/>
    <w:multiLevelType w:val="hybridMultilevel"/>
    <w:tmpl w:val="45008EE0"/>
    <w:lvl w:ilvl="0" w:tplc="447EFE24">
      <w:start w:val="1"/>
      <w:numFmt w:val="bullet"/>
      <w:lvlText w:val=""/>
      <w:lvlJc w:val="left"/>
      <w:pPr>
        <w:ind w:left="720" w:hanging="360"/>
      </w:pPr>
      <w:rPr>
        <w:rFonts w:ascii="Wingdings" w:hAnsi="Wingdings" w:hint="default"/>
      </w:rPr>
    </w:lvl>
    <w:lvl w:ilvl="1" w:tplc="644C4C68" w:tentative="1">
      <w:start w:val="1"/>
      <w:numFmt w:val="bullet"/>
      <w:lvlText w:val="o"/>
      <w:lvlJc w:val="left"/>
      <w:pPr>
        <w:ind w:left="1440" w:hanging="360"/>
      </w:pPr>
      <w:rPr>
        <w:rFonts w:ascii="Courier New" w:hAnsi="Courier New" w:cs="Courier New" w:hint="default"/>
      </w:rPr>
    </w:lvl>
    <w:lvl w:ilvl="2" w:tplc="A95A929A" w:tentative="1">
      <w:start w:val="1"/>
      <w:numFmt w:val="bullet"/>
      <w:lvlText w:val=""/>
      <w:lvlJc w:val="left"/>
      <w:pPr>
        <w:ind w:left="2160" w:hanging="360"/>
      </w:pPr>
      <w:rPr>
        <w:rFonts w:ascii="Wingdings" w:hAnsi="Wingdings" w:hint="default"/>
      </w:rPr>
    </w:lvl>
    <w:lvl w:ilvl="3" w:tplc="97E6E21C" w:tentative="1">
      <w:start w:val="1"/>
      <w:numFmt w:val="bullet"/>
      <w:lvlText w:val=""/>
      <w:lvlJc w:val="left"/>
      <w:pPr>
        <w:ind w:left="2880" w:hanging="360"/>
      </w:pPr>
      <w:rPr>
        <w:rFonts w:ascii="Symbol" w:hAnsi="Symbol" w:hint="default"/>
      </w:rPr>
    </w:lvl>
    <w:lvl w:ilvl="4" w:tplc="CBA04108" w:tentative="1">
      <w:start w:val="1"/>
      <w:numFmt w:val="bullet"/>
      <w:lvlText w:val="o"/>
      <w:lvlJc w:val="left"/>
      <w:pPr>
        <w:ind w:left="3600" w:hanging="360"/>
      </w:pPr>
      <w:rPr>
        <w:rFonts w:ascii="Courier New" w:hAnsi="Courier New" w:cs="Courier New" w:hint="default"/>
      </w:rPr>
    </w:lvl>
    <w:lvl w:ilvl="5" w:tplc="41A8432E" w:tentative="1">
      <w:start w:val="1"/>
      <w:numFmt w:val="bullet"/>
      <w:lvlText w:val=""/>
      <w:lvlJc w:val="left"/>
      <w:pPr>
        <w:ind w:left="4320" w:hanging="360"/>
      </w:pPr>
      <w:rPr>
        <w:rFonts w:ascii="Wingdings" w:hAnsi="Wingdings" w:hint="default"/>
      </w:rPr>
    </w:lvl>
    <w:lvl w:ilvl="6" w:tplc="D21C0EB2" w:tentative="1">
      <w:start w:val="1"/>
      <w:numFmt w:val="bullet"/>
      <w:lvlText w:val=""/>
      <w:lvlJc w:val="left"/>
      <w:pPr>
        <w:ind w:left="5040" w:hanging="360"/>
      </w:pPr>
      <w:rPr>
        <w:rFonts w:ascii="Symbol" w:hAnsi="Symbol" w:hint="default"/>
      </w:rPr>
    </w:lvl>
    <w:lvl w:ilvl="7" w:tplc="3568446E" w:tentative="1">
      <w:start w:val="1"/>
      <w:numFmt w:val="bullet"/>
      <w:lvlText w:val="o"/>
      <w:lvlJc w:val="left"/>
      <w:pPr>
        <w:ind w:left="5760" w:hanging="360"/>
      </w:pPr>
      <w:rPr>
        <w:rFonts w:ascii="Courier New" w:hAnsi="Courier New" w:cs="Courier New" w:hint="default"/>
      </w:rPr>
    </w:lvl>
    <w:lvl w:ilvl="8" w:tplc="A4666A22" w:tentative="1">
      <w:start w:val="1"/>
      <w:numFmt w:val="bullet"/>
      <w:lvlText w:val=""/>
      <w:lvlJc w:val="left"/>
      <w:pPr>
        <w:ind w:left="6480" w:hanging="360"/>
      </w:pPr>
      <w:rPr>
        <w:rFonts w:ascii="Wingdings" w:hAnsi="Wingdings" w:hint="default"/>
      </w:rPr>
    </w:lvl>
  </w:abstractNum>
  <w:num w:numId="1" w16cid:durableId="1920483041">
    <w:abstractNumId w:val="1"/>
  </w:num>
  <w:num w:numId="2" w16cid:durableId="2042585045">
    <w:abstractNumId w:val="5"/>
  </w:num>
  <w:num w:numId="3" w16cid:durableId="387805497">
    <w:abstractNumId w:val="2"/>
  </w:num>
  <w:num w:numId="4" w16cid:durableId="163665941">
    <w:abstractNumId w:val="0"/>
  </w:num>
  <w:num w:numId="5" w16cid:durableId="1032993120">
    <w:abstractNumId w:val="4"/>
  </w:num>
  <w:num w:numId="6" w16cid:durableId="1211842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5B9"/>
    <w:rsid w:val="000012C8"/>
    <w:rsid w:val="000126E8"/>
    <w:rsid w:val="00026F9F"/>
    <w:rsid w:val="00031781"/>
    <w:rsid w:val="00051AF0"/>
    <w:rsid w:val="00094E42"/>
    <w:rsid w:val="000C437F"/>
    <w:rsid w:val="000C75CA"/>
    <w:rsid w:val="000E70B1"/>
    <w:rsid w:val="000F6993"/>
    <w:rsid w:val="001042C0"/>
    <w:rsid w:val="00172E2E"/>
    <w:rsid w:val="001C3CD2"/>
    <w:rsid w:val="001D7DE2"/>
    <w:rsid w:val="00207ABF"/>
    <w:rsid w:val="002115B9"/>
    <w:rsid w:val="0021607F"/>
    <w:rsid w:val="00222C0B"/>
    <w:rsid w:val="0024177E"/>
    <w:rsid w:val="00283B91"/>
    <w:rsid w:val="00295347"/>
    <w:rsid w:val="0029624A"/>
    <w:rsid w:val="002B1EB8"/>
    <w:rsid w:val="002D5A1A"/>
    <w:rsid w:val="002D5C5F"/>
    <w:rsid w:val="002E2111"/>
    <w:rsid w:val="002F2230"/>
    <w:rsid w:val="00302472"/>
    <w:rsid w:val="00312B9A"/>
    <w:rsid w:val="00314CAC"/>
    <w:rsid w:val="00315428"/>
    <w:rsid w:val="00326ADE"/>
    <w:rsid w:val="00340F34"/>
    <w:rsid w:val="00355807"/>
    <w:rsid w:val="00374940"/>
    <w:rsid w:val="00376554"/>
    <w:rsid w:val="003770D8"/>
    <w:rsid w:val="00381301"/>
    <w:rsid w:val="0038646A"/>
    <w:rsid w:val="00396B7B"/>
    <w:rsid w:val="003C0FAD"/>
    <w:rsid w:val="003C418A"/>
    <w:rsid w:val="003C5917"/>
    <w:rsid w:val="003E48C0"/>
    <w:rsid w:val="003E7E2E"/>
    <w:rsid w:val="003F50FF"/>
    <w:rsid w:val="00406F13"/>
    <w:rsid w:val="00474FD8"/>
    <w:rsid w:val="004825F5"/>
    <w:rsid w:val="00492DF1"/>
    <w:rsid w:val="004A354E"/>
    <w:rsid w:val="004B6550"/>
    <w:rsid w:val="004C183E"/>
    <w:rsid w:val="004C2DC4"/>
    <w:rsid w:val="004C46AC"/>
    <w:rsid w:val="004D323D"/>
    <w:rsid w:val="004F059F"/>
    <w:rsid w:val="004F583F"/>
    <w:rsid w:val="004F65BB"/>
    <w:rsid w:val="005134D5"/>
    <w:rsid w:val="005358C6"/>
    <w:rsid w:val="005406C9"/>
    <w:rsid w:val="0055408C"/>
    <w:rsid w:val="005577EF"/>
    <w:rsid w:val="0059452D"/>
    <w:rsid w:val="005A2353"/>
    <w:rsid w:val="005B643D"/>
    <w:rsid w:val="00600ED3"/>
    <w:rsid w:val="00620518"/>
    <w:rsid w:val="00627B91"/>
    <w:rsid w:val="00640339"/>
    <w:rsid w:val="00641CCF"/>
    <w:rsid w:val="00647C6C"/>
    <w:rsid w:val="00654063"/>
    <w:rsid w:val="00684D49"/>
    <w:rsid w:val="00685B6B"/>
    <w:rsid w:val="006D0A3B"/>
    <w:rsid w:val="006D0DC6"/>
    <w:rsid w:val="006D34A8"/>
    <w:rsid w:val="006E14BE"/>
    <w:rsid w:val="00732195"/>
    <w:rsid w:val="007367D9"/>
    <w:rsid w:val="0075784E"/>
    <w:rsid w:val="00762DD3"/>
    <w:rsid w:val="007644DC"/>
    <w:rsid w:val="0079478F"/>
    <w:rsid w:val="007B0A94"/>
    <w:rsid w:val="007B6BF4"/>
    <w:rsid w:val="007E0243"/>
    <w:rsid w:val="008054F1"/>
    <w:rsid w:val="008206EC"/>
    <w:rsid w:val="00824CF4"/>
    <w:rsid w:val="008259A5"/>
    <w:rsid w:val="00825BF2"/>
    <w:rsid w:val="008404DB"/>
    <w:rsid w:val="00844FF4"/>
    <w:rsid w:val="00845DDF"/>
    <w:rsid w:val="008D5406"/>
    <w:rsid w:val="008D59D2"/>
    <w:rsid w:val="008D6CAF"/>
    <w:rsid w:val="008F7B02"/>
    <w:rsid w:val="009069D2"/>
    <w:rsid w:val="00906B52"/>
    <w:rsid w:val="00922EE7"/>
    <w:rsid w:val="00924F4C"/>
    <w:rsid w:val="009326AB"/>
    <w:rsid w:val="009447A6"/>
    <w:rsid w:val="00956F94"/>
    <w:rsid w:val="00982CA3"/>
    <w:rsid w:val="0098414A"/>
    <w:rsid w:val="00997720"/>
    <w:rsid w:val="009B1E5E"/>
    <w:rsid w:val="009E3A4E"/>
    <w:rsid w:val="00A14E51"/>
    <w:rsid w:val="00A3175D"/>
    <w:rsid w:val="00A51A71"/>
    <w:rsid w:val="00A708B5"/>
    <w:rsid w:val="00A755B0"/>
    <w:rsid w:val="00A76D42"/>
    <w:rsid w:val="00A9694D"/>
    <w:rsid w:val="00AC3B79"/>
    <w:rsid w:val="00AE765F"/>
    <w:rsid w:val="00B001E0"/>
    <w:rsid w:val="00B018F6"/>
    <w:rsid w:val="00B07516"/>
    <w:rsid w:val="00B17701"/>
    <w:rsid w:val="00B316EB"/>
    <w:rsid w:val="00B37D4B"/>
    <w:rsid w:val="00B41E7A"/>
    <w:rsid w:val="00B62495"/>
    <w:rsid w:val="00B77518"/>
    <w:rsid w:val="00B937DF"/>
    <w:rsid w:val="00BB556E"/>
    <w:rsid w:val="00BC78FF"/>
    <w:rsid w:val="00BC7D04"/>
    <w:rsid w:val="00BD4A1A"/>
    <w:rsid w:val="00BD5F86"/>
    <w:rsid w:val="00C10786"/>
    <w:rsid w:val="00C2097C"/>
    <w:rsid w:val="00C341D7"/>
    <w:rsid w:val="00C437AF"/>
    <w:rsid w:val="00C76477"/>
    <w:rsid w:val="00CA1786"/>
    <w:rsid w:val="00CB67F3"/>
    <w:rsid w:val="00CD18E0"/>
    <w:rsid w:val="00CE4E41"/>
    <w:rsid w:val="00CF5CF0"/>
    <w:rsid w:val="00D5515E"/>
    <w:rsid w:val="00D57F0C"/>
    <w:rsid w:val="00D60B78"/>
    <w:rsid w:val="00D6698A"/>
    <w:rsid w:val="00DA161F"/>
    <w:rsid w:val="00DA7DF7"/>
    <w:rsid w:val="00E006D9"/>
    <w:rsid w:val="00E03128"/>
    <w:rsid w:val="00E210C3"/>
    <w:rsid w:val="00E229F9"/>
    <w:rsid w:val="00E339B6"/>
    <w:rsid w:val="00E5473F"/>
    <w:rsid w:val="00E54EBF"/>
    <w:rsid w:val="00EA7561"/>
    <w:rsid w:val="00EB141A"/>
    <w:rsid w:val="00EC1454"/>
    <w:rsid w:val="00EC37C6"/>
    <w:rsid w:val="00ED0A85"/>
    <w:rsid w:val="00F01519"/>
    <w:rsid w:val="00F1188D"/>
    <w:rsid w:val="00F11D71"/>
    <w:rsid w:val="00F15D00"/>
    <w:rsid w:val="00F249FF"/>
    <w:rsid w:val="00F31775"/>
    <w:rsid w:val="00F54283"/>
    <w:rsid w:val="00F60575"/>
    <w:rsid w:val="00F6565D"/>
    <w:rsid w:val="00F66B97"/>
    <w:rsid w:val="00F72C0F"/>
    <w:rsid w:val="00F744DD"/>
    <w:rsid w:val="00F83149"/>
    <w:rsid w:val="00F975FC"/>
    <w:rsid w:val="00FA1423"/>
    <w:rsid w:val="00FB489C"/>
    <w:rsid w:val="00FF3CF6"/>
    <w:rsid w:val="011A4DE1"/>
    <w:rsid w:val="05A93B1F"/>
    <w:rsid w:val="0A71B7E0"/>
    <w:rsid w:val="0BF83E79"/>
    <w:rsid w:val="0CB09ABA"/>
    <w:rsid w:val="0E7AE04C"/>
    <w:rsid w:val="1054267C"/>
    <w:rsid w:val="141ADFA0"/>
    <w:rsid w:val="17997DEB"/>
    <w:rsid w:val="18F53FAB"/>
    <w:rsid w:val="1A756F42"/>
    <w:rsid w:val="1F91C0B5"/>
    <w:rsid w:val="2A3B109C"/>
    <w:rsid w:val="2C7333B7"/>
    <w:rsid w:val="2DC19FF3"/>
    <w:rsid w:val="3DB4145C"/>
    <w:rsid w:val="44A854DF"/>
    <w:rsid w:val="4D47E9A5"/>
    <w:rsid w:val="4E7DFFC6"/>
    <w:rsid w:val="4EF64DD3"/>
    <w:rsid w:val="53906149"/>
    <w:rsid w:val="53FB0E62"/>
    <w:rsid w:val="55EB39DD"/>
    <w:rsid w:val="560A189F"/>
    <w:rsid w:val="57EB48EC"/>
    <w:rsid w:val="5A3001A9"/>
    <w:rsid w:val="5B7A0F71"/>
    <w:rsid w:val="5C1A737A"/>
    <w:rsid w:val="5C859E2C"/>
    <w:rsid w:val="600CCAF7"/>
    <w:rsid w:val="61AD76AF"/>
    <w:rsid w:val="63630CFE"/>
    <w:rsid w:val="65E7A5C4"/>
    <w:rsid w:val="69966519"/>
    <w:rsid w:val="69E57867"/>
    <w:rsid w:val="6B711470"/>
    <w:rsid w:val="6BEC957E"/>
    <w:rsid w:val="6D2C2C40"/>
    <w:rsid w:val="6EA18FBF"/>
    <w:rsid w:val="706F5A4E"/>
    <w:rsid w:val="71EE9418"/>
    <w:rsid w:val="7AAC9AD4"/>
    <w:rsid w:val="7DDA10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1EFAD"/>
  <w15:docId w15:val="{5C00D3B8-9832-4FDF-9D71-92F86386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054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15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15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5B9"/>
  </w:style>
  <w:style w:type="paragraph" w:styleId="Footer">
    <w:name w:val="footer"/>
    <w:basedOn w:val="Normal"/>
    <w:link w:val="FooterChar"/>
    <w:uiPriority w:val="99"/>
    <w:unhideWhenUsed/>
    <w:rsid w:val="002115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5B9"/>
  </w:style>
  <w:style w:type="paragraph" w:styleId="ListParagraph">
    <w:name w:val="List Paragraph"/>
    <w:basedOn w:val="Normal"/>
    <w:uiPriority w:val="34"/>
    <w:qFormat/>
    <w:rsid w:val="002115B9"/>
    <w:pPr>
      <w:ind w:left="720"/>
      <w:contextualSpacing/>
    </w:pPr>
  </w:style>
  <w:style w:type="character" w:styleId="Hyperlink">
    <w:name w:val="Hyperlink"/>
    <w:basedOn w:val="DefaultParagraphFont"/>
    <w:uiPriority w:val="99"/>
    <w:unhideWhenUsed/>
    <w:rsid w:val="00283B91"/>
    <w:rPr>
      <w:color w:val="0563C1" w:themeColor="hyperlink"/>
      <w:u w:val="single"/>
    </w:rPr>
  </w:style>
  <w:style w:type="character" w:customStyle="1" w:styleId="UnresolvedMention1">
    <w:name w:val="Unresolved Mention1"/>
    <w:basedOn w:val="DefaultParagraphFont"/>
    <w:uiPriority w:val="99"/>
    <w:semiHidden/>
    <w:unhideWhenUsed/>
    <w:rsid w:val="00283B91"/>
    <w:rPr>
      <w:color w:val="605E5C"/>
      <w:shd w:val="clear" w:color="auto" w:fill="E1DFDD"/>
    </w:rPr>
  </w:style>
  <w:style w:type="character" w:styleId="FollowedHyperlink">
    <w:name w:val="FollowedHyperlink"/>
    <w:basedOn w:val="DefaultParagraphFont"/>
    <w:uiPriority w:val="99"/>
    <w:semiHidden/>
    <w:unhideWhenUsed/>
    <w:rsid w:val="003C418A"/>
    <w:rPr>
      <w:color w:val="954F72" w:themeColor="followedHyperlink"/>
      <w:u w:val="single"/>
    </w:rPr>
  </w:style>
  <w:style w:type="paragraph" w:styleId="BalloonText">
    <w:name w:val="Balloon Text"/>
    <w:basedOn w:val="Normal"/>
    <w:link w:val="BalloonTextChar"/>
    <w:uiPriority w:val="99"/>
    <w:semiHidden/>
    <w:unhideWhenUsed/>
    <w:rsid w:val="00647C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C6C"/>
    <w:rPr>
      <w:rFonts w:ascii="Segoe UI" w:hAnsi="Segoe UI" w:cs="Segoe UI"/>
      <w:sz w:val="18"/>
      <w:szCs w:val="18"/>
    </w:rPr>
  </w:style>
  <w:style w:type="paragraph" w:styleId="Revision">
    <w:name w:val="Revision"/>
    <w:hidden/>
    <w:uiPriority w:val="99"/>
    <w:semiHidden/>
    <w:rsid w:val="00AE765F"/>
    <w:pPr>
      <w:spacing w:after="0" w:line="240" w:lineRule="auto"/>
    </w:pPr>
  </w:style>
  <w:style w:type="character" w:styleId="CommentReference">
    <w:name w:val="annotation reference"/>
    <w:basedOn w:val="DefaultParagraphFont"/>
    <w:uiPriority w:val="99"/>
    <w:semiHidden/>
    <w:unhideWhenUsed/>
    <w:rsid w:val="00C76477"/>
    <w:rPr>
      <w:sz w:val="16"/>
      <w:szCs w:val="16"/>
    </w:rPr>
  </w:style>
  <w:style w:type="paragraph" w:styleId="CommentText">
    <w:name w:val="annotation text"/>
    <w:basedOn w:val="Normal"/>
    <w:link w:val="CommentTextChar"/>
    <w:uiPriority w:val="99"/>
    <w:unhideWhenUsed/>
    <w:rsid w:val="00C76477"/>
    <w:pPr>
      <w:spacing w:line="240" w:lineRule="auto"/>
    </w:pPr>
    <w:rPr>
      <w:sz w:val="20"/>
      <w:szCs w:val="20"/>
    </w:rPr>
  </w:style>
  <w:style w:type="character" w:customStyle="1" w:styleId="CommentTextChar">
    <w:name w:val="Comment Text Char"/>
    <w:basedOn w:val="DefaultParagraphFont"/>
    <w:link w:val="CommentText"/>
    <w:uiPriority w:val="99"/>
    <w:rsid w:val="00C76477"/>
    <w:rPr>
      <w:sz w:val="20"/>
      <w:szCs w:val="20"/>
    </w:rPr>
  </w:style>
  <w:style w:type="paragraph" w:styleId="CommentSubject">
    <w:name w:val="annotation subject"/>
    <w:basedOn w:val="CommentText"/>
    <w:next w:val="CommentText"/>
    <w:link w:val="CommentSubjectChar"/>
    <w:uiPriority w:val="99"/>
    <w:semiHidden/>
    <w:unhideWhenUsed/>
    <w:rsid w:val="00C76477"/>
    <w:rPr>
      <w:b/>
      <w:bCs/>
    </w:rPr>
  </w:style>
  <w:style w:type="character" w:customStyle="1" w:styleId="CommentSubjectChar">
    <w:name w:val="Comment Subject Char"/>
    <w:basedOn w:val="CommentTextChar"/>
    <w:link w:val="CommentSubject"/>
    <w:uiPriority w:val="99"/>
    <w:semiHidden/>
    <w:rsid w:val="00C76477"/>
    <w:rPr>
      <w:b/>
      <w:bCs/>
      <w:sz w:val="20"/>
      <w:szCs w:val="20"/>
    </w:rPr>
  </w:style>
  <w:style w:type="character" w:customStyle="1" w:styleId="Heading1Char">
    <w:name w:val="Heading 1 Char"/>
    <w:basedOn w:val="DefaultParagraphFont"/>
    <w:link w:val="Heading1"/>
    <w:uiPriority w:val="9"/>
    <w:rsid w:val="008054F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presource.org/you-can-help/read-your-medicare-statements/" TargetMode="External"/><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6748d2-86d2-4c2e-bda4-f829a0cd106a" xsi:nil="true"/>
    <lcf76f155ced4ddcb4097134ff3c332f xmlns="0103f796-9552-4033-b8f8-84d87517931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3969650480094496BF20F24360705C" ma:contentTypeVersion="13" ma:contentTypeDescription="Create a new document." ma:contentTypeScope="" ma:versionID="177895ceba1e85a7a4029fe1fb31b145">
  <xsd:schema xmlns:xsd="http://www.w3.org/2001/XMLSchema" xmlns:xs="http://www.w3.org/2001/XMLSchema" xmlns:p="http://schemas.microsoft.com/office/2006/metadata/properties" xmlns:ns2="0103f796-9552-4033-b8f8-84d87517931f" xmlns:ns3="e06748d2-86d2-4c2e-bda4-f829a0cd106a" targetNamespace="http://schemas.microsoft.com/office/2006/metadata/properties" ma:root="true" ma:fieldsID="165399077f20dfaa63e80e8fab5ebf76" ns2:_="" ns3:_="">
    <xsd:import namespace="0103f796-9552-4033-b8f8-84d87517931f"/>
    <xsd:import namespace="e06748d2-86d2-4c2e-bda4-f829a0cd1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3f796-9552-4033-b8f8-84d875179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b061aeb-2629-450a-b3f0-027c5a84765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48d2-86d2-4c2e-bda4-f829a0cd10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6b687f-63e4-4d07-9dba-7b3622b3de80}" ma:internalName="TaxCatchAll" ma:showField="CatchAllData" ma:web="e06748d2-86d2-4c2e-bda4-f829a0cd1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01B117-9542-4C6C-B630-9ED3E805073D}">
  <ds:schemaRefs>
    <ds:schemaRef ds:uri="http://schemas.microsoft.com/office/2006/metadata/properties"/>
    <ds:schemaRef ds:uri="http://schemas.microsoft.com/office/infopath/2007/PartnerControls"/>
    <ds:schemaRef ds:uri="e06748d2-86d2-4c2e-bda4-f829a0cd106a"/>
    <ds:schemaRef ds:uri="0103f796-9552-4033-b8f8-84d87517931f"/>
  </ds:schemaRefs>
</ds:datastoreItem>
</file>

<file path=customXml/itemProps2.xml><?xml version="1.0" encoding="utf-8"?>
<ds:datastoreItem xmlns:ds="http://schemas.openxmlformats.org/officeDocument/2006/customXml" ds:itemID="{F056519C-DC99-4163-B23E-2B38EC547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3f796-9552-4033-b8f8-84d87517931f"/>
    <ds:schemaRef ds:uri="e06748d2-86d2-4c2e-bda4-f829a0cd1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6DA0ED-4335-4A24-A75C-F3F8EBFDC0DD}">
  <ds:schemaRefs>
    <ds:schemaRef ds:uri="http://schemas.openxmlformats.org/officeDocument/2006/bibliography"/>
  </ds:schemaRefs>
</ds:datastoreItem>
</file>

<file path=customXml/itemProps4.xml><?xml version="1.0" encoding="utf-8"?>
<ds:datastoreItem xmlns:ds="http://schemas.openxmlformats.org/officeDocument/2006/customXml" ds:itemID="{63091464-6484-485B-9D2A-3C2A424B0E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1046</Words>
  <Characters>5636</Characters>
  <Application>Microsoft Office Word</Application>
  <DocSecurity>0</DocSecurity>
  <Lines>190</Lines>
  <Paragraphs>46</Paragraphs>
  <ScaleCrop>false</ScaleCrop>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Orton</dc:creator>
  <cp:lastModifiedBy>Abby Batterson</cp:lastModifiedBy>
  <cp:revision>22</cp:revision>
  <cp:lastPrinted>2022-03-23T17:45:00Z</cp:lastPrinted>
  <dcterms:created xsi:type="dcterms:W3CDTF">2026-03-02T17:27:00Z</dcterms:created>
  <dcterms:modified xsi:type="dcterms:W3CDTF">2026-03-03T20:23:00Z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0x010100793969650480094496BF20F24360705C</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