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18C9" w14:textId="77777777" w:rsidR="008F7B02" w:rsidRPr="009069D2" w:rsidRDefault="008F7B02" w:rsidP="002115B9">
      <w:pPr>
        <w:spacing w:after="0"/>
        <w:rPr>
          <w:rFonts w:ascii="Franklin Gothic Book" w:hAnsi="Franklin Gothic Book"/>
        </w:rPr>
      </w:pPr>
    </w:p>
    <w:p w14:paraId="47D095CF" w14:textId="77777777" w:rsidR="002115B9" w:rsidRPr="00283B91" w:rsidRDefault="000E565E" w:rsidP="002115B9">
      <w:pPr>
        <w:spacing w:after="0"/>
        <w:rPr>
          <w:rFonts w:ascii="Franklin Gothic Book" w:hAnsi="Franklin Gothic Book"/>
          <w:sz w:val="24"/>
          <w:szCs w:val="24"/>
        </w:rPr>
      </w:pPr>
      <w:r>
        <w:rPr>
          <w:rFonts w:ascii="Franklin Gothic Book" w:eastAsia="Franklin Gothic Book" w:hAnsi="Franklin Gothic Book" w:cs="Franklin Gothic Book"/>
          <w:sz w:val="24"/>
          <w:szCs w:val="24"/>
          <w:bdr w:val="nil"/>
          <w:lang w:val="de-DE"/>
        </w:rPr>
        <w:t>Empfängerkategorien/ Zielgruppen: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390"/>
      </w:tblGrid>
      <w:tr w:rsidR="002E2E65" w14:paraId="0CE20130" w14:textId="77777777" w:rsidTr="00283B91">
        <w:tc>
          <w:tcPr>
            <w:tcW w:w="5400" w:type="dxa"/>
          </w:tcPr>
          <w:p w14:paraId="28100849" w14:textId="77777777" w:rsidR="002115B9" w:rsidRPr="00283B91" w:rsidRDefault="000E565E" w:rsidP="00283B91">
            <w:pPr>
              <w:pStyle w:val="ListParagraph"/>
              <w:numPr>
                <w:ilvl w:val="0"/>
                <w:numId w:val="2"/>
              </w:numPr>
              <w:rPr>
                <w:rFonts w:cstheme="minorHAnsi"/>
                <w:sz w:val="24"/>
                <w:szCs w:val="24"/>
              </w:rPr>
            </w:pPr>
            <w:hyperlink w:anchor="Beneficiaries" w:history="1">
              <w:r>
                <w:rPr>
                  <w:rFonts w:ascii="Calibri" w:eastAsia="Calibri" w:hAnsi="Calibri" w:cs="Calibri"/>
                  <w:color w:val="0563C1"/>
                  <w:sz w:val="24"/>
                  <w:szCs w:val="24"/>
                  <w:u w:val="single"/>
                  <w:bdr w:val="nil"/>
                  <w:lang w:val="de-DE"/>
                </w:rPr>
                <w:t>Mitglieder</w:t>
              </w:r>
            </w:hyperlink>
          </w:p>
          <w:p w14:paraId="0A1A9A16" w14:textId="77777777" w:rsidR="002115B9" w:rsidRPr="00283B91" w:rsidRDefault="000E565E" w:rsidP="00283B91">
            <w:pPr>
              <w:pStyle w:val="ListParagraph"/>
              <w:numPr>
                <w:ilvl w:val="0"/>
                <w:numId w:val="2"/>
              </w:numPr>
              <w:rPr>
                <w:rFonts w:cstheme="minorHAnsi"/>
                <w:sz w:val="24"/>
                <w:szCs w:val="24"/>
              </w:rPr>
            </w:pPr>
            <w:hyperlink w:anchor="Caregivers" w:history="1">
              <w:r>
                <w:rPr>
                  <w:rFonts w:ascii="Calibri" w:eastAsia="Calibri" w:hAnsi="Calibri" w:cs="Calibri"/>
                  <w:color w:val="0563C1"/>
                  <w:sz w:val="24"/>
                  <w:szCs w:val="24"/>
                  <w:u w:val="single"/>
                  <w:bdr w:val="nil"/>
                  <w:lang w:val="de-DE"/>
                </w:rPr>
                <w:t>Betreuer</w:t>
              </w:r>
            </w:hyperlink>
          </w:p>
          <w:p w14:paraId="3995EEFF" w14:textId="77777777" w:rsidR="002115B9" w:rsidRPr="00283B91" w:rsidRDefault="000E565E" w:rsidP="00283B91">
            <w:pPr>
              <w:pStyle w:val="ListParagraph"/>
              <w:numPr>
                <w:ilvl w:val="0"/>
                <w:numId w:val="2"/>
              </w:numPr>
              <w:rPr>
                <w:rFonts w:cstheme="minorHAnsi"/>
                <w:sz w:val="24"/>
                <w:szCs w:val="24"/>
              </w:rPr>
            </w:pPr>
            <w:hyperlink w:anchor="Family" w:history="1">
              <w:r>
                <w:rPr>
                  <w:rFonts w:ascii="Calibri" w:eastAsia="Calibri" w:hAnsi="Calibri" w:cs="Calibri"/>
                  <w:color w:val="0563C1"/>
                  <w:u w:val="single"/>
                  <w:bdr w:val="nil"/>
                  <w:lang w:val="de-DE"/>
                </w:rPr>
                <w:t>Familien</w:t>
              </w:r>
            </w:hyperlink>
          </w:p>
          <w:p w14:paraId="47FE7E88" w14:textId="77777777" w:rsidR="002115B9" w:rsidRPr="00283B91" w:rsidRDefault="000E565E" w:rsidP="00283B91">
            <w:pPr>
              <w:pStyle w:val="ListParagraph"/>
              <w:numPr>
                <w:ilvl w:val="0"/>
                <w:numId w:val="2"/>
              </w:numPr>
              <w:rPr>
                <w:rFonts w:cstheme="minorHAnsi"/>
                <w:sz w:val="24"/>
                <w:szCs w:val="24"/>
              </w:rPr>
            </w:pPr>
            <w:hyperlink w:anchor="Partners" w:history="1">
              <w:r>
                <w:rPr>
                  <w:rFonts w:ascii="Calibri" w:eastAsia="Calibri" w:hAnsi="Calibri" w:cs="Calibri"/>
                  <w:color w:val="0563C1"/>
                  <w:sz w:val="24"/>
                  <w:szCs w:val="24"/>
                  <w:u w:val="single"/>
                  <w:bdr w:val="nil"/>
                  <w:lang w:val="de-DE"/>
                </w:rPr>
                <w:t>Partner</w:t>
              </w:r>
            </w:hyperlink>
          </w:p>
        </w:tc>
        <w:tc>
          <w:tcPr>
            <w:tcW w:w="5390" w:type="dxa"/>
          </w:tcPr>
          <w:p w14:paraId="094915B4" w14:textId="77777777" w:rsidR="002115B9" w:rsidRPr="00340F34" w:rsidRDefault="000E565E" w:rsidP="00340F34">
            <w:pPr>
              <w:pStyle w:val="ListParagraph"/>
              <w:numPr>
                <w:ilvl w:val="0"/>
                <w:numId w:val="2"/>
              </w:numPr>
              <w:rPr>
                <w:rFonts w:cstheme="minorHAnsi"/>
                <w:sz w:val="24"/>
                <w:szCs w:val="24"/>
              </w:rPr>
            </w:pPr>
            <w:hyperlink w:anchor="Partners" w:history="1">
              <w:r>
                <w:rPr>
                  <w:rFonts w:ascii="Calibri" w:eastAsia="Calibri" w:hAnsi="Calibri" w:cs="Calibri"/>
                  <w:color w:val="0563C1"/>
                  <w:sz w:val="24"/>
                  <w:szCs w:val="24"/>
                  <w:u w:val="single"/>
                  <w:bdr w:val="nil"/>
                  <w:lang w:val="de-DE"/>
                </w:rPr>
                <w:t>Gesundheitsdienstleister</w:t>
              </w:r>
            </w:hyperlink>
          </w:p>
          <w:p w14:paraId="53D25C40" w14:textId="77777777" w:rsidR="002115B9" w:rsidRDefault="000E565E" w:rsidP="00283B91">
            <w:pPr>
              <w:pStyle w:val="ListParagraph"/>
              <w:numPr>
                <w:ilvl w:val="0"/>
                <w:numId w:val="2"/>
              </w:numPr>
              <w:rPr>
                <w:rFonts w:cstheme="minorHAnsi"/>
                <w:sz w:val="24"/>
                <w:szCs w:val="24"/>
              </w:rPr>
            </w:pPr>
            <w:hyperlink w:anchor="Community" w:history="1">
              <w:r>
                <w:rPr>
                  <w:rFonts w:ascii="Calibri" w:eastAsia="Calibri" w:hAnsi="Calibri" w:cs="Calibri"/>
                  <w:color w:val="0563C1"/>
                  <w:sz w:val="24"/>
                  <w:szCs w:val="24"/>
                  <w:u w:val="single"/>
                  <w:bdr w:val="nil"/>
                  <w:lang w:val="de-DE"/>
                </w:rPr>
                <w:t>Gesellschaft</w:t>
              </w:r>
            </w:hyperlink>
          </w:p>
          <w:p w14:paraId="4829F67D" w14:textId="77777777" w:rsidR="00340F34" w:rsidRPr="00283B91" w:rsidRDefault="00340F34" w:rsidP="008D6CAF">
            <w:pPr>
              <w:pStyle w:val="ListParagraph"/>
              <w:rPr>
                <w:rFonts w:cstheme="minorHAnsi"/>
                <w:sz w:val="24"/>
                <w:szCs w:val="24"/>
              </w:rPr>
            </w:pPr>
          </w:p>
        </w:tc>
      </w:tr>
    </w:tbl>
    <w:p w14:paraId="555457DE" w14:textId="77777777" w:rsidR="002115B9" w:rsidRDefault="002115B9" w:rsidP="002115B9">
      <w:pPr>
        <w:spacing w:after="0"/>
      </w:pPr>
    </w:p>
    <w:p w14:paraId="1FBBB9CA" w14:textId="449CA094" w:rsidR="00C341D7" w:rsidRPr="005C28AF" w:rsidRDefault="000E565E" w:rsidP="0024177E">
      <w:pPr>
        <w:spacing w:after="0"/>
        <w:jc w:val="center"/>
        <w:rPr>
          <w:b/>
          <w:bCs/>
          <w:lang w:val="de-DE"/>
        </w:rPr>
      </w:pPr>
      <w:r>
        <w:rPr>
          <w:rFonts w:ascii="Calibri" w:eastAsia="Calibri" w:hAnsi="Calibri" w:cs="Calibri"/>
          <w:b/>
          <w:bCs/>
          <w:bdr w:val="nil"/>
          <w:lang w:val="de-DE"/>
        </w:rPr>
        <w:t xml:space="preserve">Entsprechende Bilder finden Sie unter: </w:t>
      </w:r>
      <w:r w:rsidR="005C28AF">
        <w:rPr>
          <w:rFonts w:ascii="Calibri" w:eastAsia="Calibri" w:hAnsi="Calibri" w:cs="Calibri"/>
          <w:b/>
          <w:bCs/>
          <w:bdr w:val="nil"/>
          <w:lang w:val="de-DE"/>
        </w:rPr>
        <w:br/>
      </w:r>
      <w:hyperlink r:id="rId10" w:history="1">
        <w:r w:rsidR="005C28AF" w:rsidRPr="005F364C">
          <w:rPr>
            <w:rStyle w:val="Hyperlink"/>
            <w:rFonts w:ascii="Calibri" w:eastAsia="Calibri" w:hAnsi="Calibri" w:cs="Calibri"/>
            <w:b/>
            <w:bCs/>
            <w:bdr w:val="nil"/>
            <w:lang w:val="de-DE"/>
          </w:rPr>
          <w:t>https://www.smpresource.org/Content/Medicare-Fraud-Prevention-Week/Social-Media-Kit.aspx</w:t>
        </w:r>
      </w:hyperlink>
      <w:r>
        <w:rPr>
          <w:rFonts w:ascii="Calibri" w:eastAsia="Calibri" w:hAnsi="Calibri" w:cs="Calibri"/>
          <w:b/>
          <w:bCs/>
          <w:bdr w:val="nil"/>
          <w:lang w:val="de-DE"/>
        </w:rPr>
        <w:t xml:space="preserve"> </w:t>
      </w:r>
    </w:p>
    <w:p w14:paraId="7FD34190" w14:textId="77777777" w:rsidR="00283B91" w:rsidRPr="00283B91" w:rsidRDefault="000E565E" w:rsidP="002115B9">
      <w:pPr>
        <w:spacing w:after="0"/>
        <w:rPr>
          <w:rFonts w:ascii="Franklin Gothic Book" w:hAnsi="Franklin Gothic Book"/>
          <w:sz w:val="24"/>
          <w:szCs w:val="24"/>
        </w:rPr>
      </w:pPr>
      <w:bookmarkStart w:id="0" w:name="Beneficiaries"/>
      <w:r>
        <w:rPr>
          <w:rFonts w:ascii="Franklin Gothic Book" w:eastAsia="Franklin Gothic Book" w:hAnsi="Franklin Gothic Book" w:cs="Franklin Gothic Book"/>
          <w:sz w:val="24"/>
          <w:szCs w:val="24"/>
          <w:bdr w:val="nil"/>
          <w:lang w:val="de-DE"/>
        </w:rPr>
        <w:t>Mitglieder</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2E2E65" w14:paraId="7A33EF3E" w14:textId="77777777" w:rsidTr="00732195">
        <w:trPr>
          <w:trHeight w:val="332"/>
        </w:trPr>
        <w:tc>
          <w:tcPr>
            <w:tcW w:w="1667" w:type="pct"/>
            <w:shd w:val="clear" w:color="auto" w:fill="43B6DB"/>
          </w:tcPr>
          <w:p w14:paraId="66872094" w14:textId="77777777" w:rsidR="00732195" w:rsidRPr="00283B91" w:rsidRDefault="000E565E" w:rsidP="002115B9">
            <w:pPr>
              <w:jc w:val="center"/>
              <w:rPr>
                <w:rFonts w:ascii="Franklin Gothic Book" w:hAnsi="Franklin Gothic Book"/>
                <w:color w:val="FFFFFF" w:themeColor="background1"/>
                <w:sz w:val="24"/>
                <w:szCs w:val="24"/>
              </w:rPr>
            </w:pPr>
            <w:bookmarkStart w:id="1" w:name="_Hlk98845402"/>
            <w:bookmarkEnd w:id="0"/>
            <w:r>
              <w:rPr>
                <w:rFonts w:ascii="Franklin Gothic Book" w:eastAsia="Franklin Gothic Book" w:hAnsi="Franklin Gothic Book" w:cs="Franklin Gothic Book"/>
                <w:color w:val="FFFFFF"/>
                <w:sz w:val="24"/>
                <w:szCs w:val="24"/>
                <w:bdr w:val="nil"/>
                <w:lang w:val="de-DE"/>
              </w:rPr>
              <w:t>Facebook/Instagram</w:t>
            </w:r>
          </w:p>
        </w:tc>
        <w:tc>
          <w:tcPr>
            <w:tcW w:w="1667" w:type="pct"/>
            <w:shd w:val="clear" w:color="auto" w:fill="43B6DB"/>
          </w:tcPr>
          <w:p w14:paraId="68F9C3ED" w14:textId="63437251" w:rsidR="00732195" w:rsidRPr="00283B91" w:rsidRDefault="000E565E" w:rsidP="002115B9">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de-DE"/>
              </w:rPr>
              <w:t>Twitter/X</w:t>
            </w:r>
          </w:p>
        </w:tc>
        <w:tc>
          <w:tcPr>
            <w:tcW w:w="1666" w:type="pct"/>
            <w:shd w:val="clear" w:color="auto" w:fill="43B6DB"/>
          </w:tcPr>
          <w:p w14:paraId="50DE4618" w14:textId="77777777" w:rsidR="00732195" w:rsidRPr="00283B91" w:rsidRDefault="000E565E" w:rsidP="002115B9">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de-DE"/>
              </w:rPr>
              <w:t>LinkedIn</w:t>
            </w:r>
          </w:p>
        </w:tc>
      </w:tr>
      <w:tr w:rsidR="002E2E65" w14:paraId="28C7F339" w14:textId="77777777" w:rsidTr="00732195">
        <w:tc>
          <w:tcPr>
            <w:tcW w:w="1667" w:type="pct"/>
            <w:shd w:val="clear" w:color="auto" w:fill="auto"/>
          </w:tcPr>
          <w:p w14:paraId="356E0646" w14:textId="77777777" w:rsidR="002B1EB8" w:rsidRDefault="000E565E" w:rsidP="002B1EB8">
            <w:r>
              <w:rPr>
                <w:rFonts w:ascii="Calibri" w:eastAsia="Calibri" w:hAnsi="Calibri" w:cs="Calibri"/>
                <w:bdr w:val="nil"/>
                <w:lang w:val="de-DE"/>
              </w:rPr>
              <w:t xml:space="preserve">Der beste Weg, Betrug zu verhindern, ist, ihn von vornherein zu unterbinden Lernen Sie, wie Sie Medicare-Betrug, -Fehler und -Missbrauch verhindern können, und geben Sie dann das Gelernte weiter. Das ist der richtige Ansatzpunkt. </w:t>
            </w:r>
          </w:p>
          <w:p w14:paraId="58F382DF" w14:textId="77777777" w:rsidR="002B1EB8" w:rsidRDefault="000E565E" w:rsidP="002B1EB8">
            <w:r>
              <w:rPr>
                <w:rFonts w:ascii="Calibri" w:eastAsia="Calibri" w:hAnsi="Calibri" w:cs="Calibri"/>
                <w:bdr w:val="nil"/>
                <w:lang w:val="de-DE"/>
              </w:rPr>
              <w:t>#MFPW #MFPWbeneficiaries</w:t>
            </w:r>
          </w:p>
        </w:tc>
        <w:tc>
          <w:tcPr>
            <w:tcW w:w="1667" w:type="pct"/>
            <w:shd w:val="clear" w:color="auto" w:fill="auto"/>
          </w:tcPr>
          <w:p w14:paraId="10F07DE1" w14:textId="77777777" w:rsidR="002B1EB8" w:rsidRDefault="000E565E" w:rsidP="002B1EB8">
            <w:r>
              <w:rPr>
                <w:rFonts w:ascii="Calibri" w:eastAsia="Calibri" w:hAnsi="Calibri" w:cs="Calibri"/>
                <w:bdr w:val="nil"/>
                <w:lang w:val="de-DE"/>
              </w:rPr>
              <w:t xml:space="preserve">Die wirksamste Waffe im Kampf gegen Betrug ist in erster Linie die Vorbeugung. Am besten beginnen Sie, indem Sie sich und Ihre Angehörigen darüber informieren, wie Medicare-Betrug, </w:t>
            </w:r>
            <w:r>
              <w:rPr>
                <w:rFonts w:ascii="Calibri" w:eastAsia="Calibri" w:hAnsi="Calibri" w:cs="Calibri"/>
                <w:bdr w:val="nil"/>
                <w:lang w:val="de-DE"/>
              </w:rPr>
              <w:noBreakHyphen/>
              <w:t xml:space="preserve">Fehler und </w:t>
            </w:r>
            <w:r>
              <w:rPr>
                <w:rFonts w:ascii="Calibri" w:eastAsia="Calibri" w:hAnsi="Calibri" w:cs="Calibri"/>
                <w:bdr w:val="nil"/>
                <w:lang w:val="de-DE"/>
              </w:rPr>
              <w:noBreakHyphen/>
              <w:t>Missbrauch verhindert werden können. #MFPW #MFPWbeneficiaries</w:t>
            </w:r>
          </w:p>
        </w:tc>
        <w:tc>
          <w:tcPr>
            <w:tcW w:w="1666" w:type="pct"/>
          </w:tcPr>
          <w:p w14:paraId="7519E48C" w14:textId="77777777" w:rsidR="002B1EB8" w:rsidRDefault="000E565E" w:rsidP="002B1EB8">
            <w:r>
              <w:rPr>
                <w:rFonts w:ascii="Calibri" w:eastAsia="Calibri" w:hAnsi="Calibri" w:cs="Calibri"/>
                <w:bdr w:val="nil"/>
                <w:lang w:val="de-DE"/>
              </w:rPr>
              <w:t xml:space="preserve">Die wirksamste Waffe im Kampf gegen Betrug ist in erster Linie die Vorbeugung. Am besten beginnen Sie, indem Sie sich und Ihre Angehörigen darüber informieren, wie Medicare-Betrug, </w:t>
            </w:r>
            <w:r>
              <w:rPr>
                <w:rFonts w:ascii="Calibri" w:eastAsia="Calibri" w:hAnsi="Calibri" w:cs="Calibri"/>
                <w:bdr w:val="nil"/>
                <w:lang w:val="de-DE"/>
              </w:rPr>
              <w:noBreakHyphen/>
              <w:t xml:space="preserve">Fehler und </w:t>
            </w:r>
            <w:r>
              <w:rPr>
                <w:rFonts w:ascii="Calibri" w:eastAsia="Calibri" w:hAnsi="Calibri" w:cs="Calibri"/>
                <w:bdr w:val="nil"/>
                <w:lang w:val="de-DE"/>
              </w:rPr>
              <w:noBreakHyphen/>
              <w:t>Missbrauch verhindert werden können. #MFPW #MFPWbeneficiaries</w:t>
            </w:r>
          </w:p>
          <w:p w14:paraId="7D61B775" w14:textId="77777777" w:rsidR="002B1EB8" w:rsidRDefault="002B1EB8" w:rsidP="002B1EB8"/>
        </w:tc>
      </w:tr>
      <w:tr w:rsidR="002E2E65" w:rsidRPr="000E565E" w14:paraId="380B0ED3" w14:textId="77777777" w:rsidTr="00732195">
        <w:tc>
          <w:tcPr>
            <w:tcW w:w="1667" w:type="pct"/>
            <w:shd w:val="clear" w:color="auto" w:fill="auto"/>
          </w:tcPr>
          <w:p w14:paraId="19CAA4F4" w14:textId="5E7F334F" w:rsidR="002B1EB8" w:rsidRPr="005C28AF" w:rsidRDefault="000E565E" w:rsidP="002B1EB8">
            <w:pPr>
              <w:rPr>
                <w:lang w:val="de-DE"/>
              </w:rPr>
            </w:pPr>
            <w:r>
              <w:rPr>
                <w:rFonts w:ascii="Calibri" w:eastAsia="Calibri" w:hAnsi="Calibri" w:cs="Calibri"/>
                <w:bdr w:val="nil"/>
                <w:lang w:val="de-DE"/>
              </w:rPr>
              <w:t>Liebe Medicare-Mitglieder, die Medicare-Woche gegen Betrug startet heute</w:t>
            </w:r>
            <w:r>
              <w:rPr>
                <w:rFonts w:ascii="Calibri" w:eastAsia="Calibri" w:hAnsi="Calibri" w:cs="Calibri"/>
                <w:bdr w:val="nil"/>
                <w:lang w:val="de-DE"/>
              </w:rPr>
              <w:t xml:space="preserve">. Beginnen Sie die Woche, indem Sie erfahren, wie Sie Ihre Medicare-Abrechnung lesen. </w:t>
            </w:r>
          </w:p>
          <w:p w14:paraId="0E26F6EA" w14:textId="77777777" w:rsidR="002B1EB8" w:rsidRPr="005C28AF" w:rsidRDefault="002B1EB8" w:rsidP="002B1EB8">
            <w:pPr>
              <w:rPr>
                <w:lang w:val="de-DE"/>
              </w:rPr>
            </w:pPr>
          </w:p>
          <w:p w14:paraId="07DB336C" w14:textId="77777777" w:rsidR="002B1EB8" w:rsidRPr="005C28AF" w:rsidRDefault="000E565E" w:rsidP="002B1EB8">
            <w:pPr>
              <w:rPr>
                <w:lang w:val="de-DE"/>
              </w:rPr>
            </w:pPr>
            <w:r>
              <w:rPr>
                <w:rFonts w:ascii="Calibri" w:eastAsia="Calibri" w:hAnsi="Calibri" w:cs="Calibri"/>
                <w:bdr w:val="nil"/>
                <w:lang w:val="de-DE"/>
              </w:rPr>
              <w:t xml:space="preserve">Lesen Sie Ihre Medicare Summary </w:t>
            </w:r>
            <w:proofErr w:type="spellStart"/>
            <w:r>
              <w:rPr>
                <w:rFonts w:ascii="Calibri" w:eastAsia="Calibri" w:hAnsi="Calibri" w:cs="Calibri"/>
                <w:bdr w:val="nil"/>
                <w:lang w:val="de-DE"/>
              </w:rPr>
              <w:t>Notice</w:t>
            </w:r>
            <w:proofErr w:type="spellEnd"/>
            <w:r>
              <w:rPr>
                <w:rFonts w:ascii="Calibri" w:eastAsia="Calibri" w:hAnsi="Calibri" w:cs="Calibri"/>
                <w:bdr w:val="nil"/>
                <w:lang w:val="de-DE"/>
              </w:rPr>
              <w:t xml:space="preserve"> (MSN) und die Explanation </w:t>
            </w:r>
            <w:proofErr w:type="spellStart"/>
            <w:r>
              <w:rPr>
                <w:rFonts w:ascii="Calibri" w:eastAsia="Calibri" w:hAnsi="Calibri" w:cs="Calibri"/>
                <w:bdr w:val="nil"/>
                <w:lang w:val="de-DE"/>
              </w:rPr>
              <w:t>of</w:t>
            </w:r>
            <w:proofErr w:type="spellEnd"/>
            <w:r>
              <w:rPr>
                <w:rFonts w:ascii="Calibri" w:eastAsia="Calibri" w:hAnsi="Calibri" w:cs="Calibri"/>
                <w:bdr w:val="nil"/>
                <w:lang w:val="de-DE"/>
              </w:rPr>
              <w:t xml:space="preserve"> Benefits (EOB), die wir Ihnen per Post schicken, oder gehen Sie direkt auf Medicare.gov und verwalten Sie Ihre Anliegen digital. In diesem Video des SMP erfahren Sie, wie Sie Ihre Medicare-Abrechnungen lesen und wie Sie eventuelle Fehler melden können.</w:t>
            </w:r>
          </w:p>
          <w:p w14:paraId="7F50637D" w14:textId="77777777" w:rsidR="006D0A3B" w:rsidRDefault="000E565E" w:rsidP="002B1EB8">
            <w:r>
              <w:rPr>
                <w:rFonts w:ascii="Calibri" w:eastAsia="Calibri" w:hAnsi="Calibri" w:cs="Calibri"/>
                <w:bdr w:val="nil"/>
                <w:lang w:val="de-DE"/>
              </w:rPr>
              <w:t>#MFPW #MFPWbeneficiaries</w:t>
            </w:r>
          </w:p>
          <w:p w14:paraId="4A05A786" w14:textId="77777777" w:rsidR="002B1EB8" w:rsidRDefault="002B1EB8" w:rsidP="002B1EB8"/>
        </w:tc>
        <w:tc>
          <w:tcPr>
            <w:tcW w:w="1667" w:type="pct"/>
            <w:shd w:val="clear" w:color="auto" w:fill="auto"/>
          </w:tcPr>
          <w:p w14:paraId="55F895EC" w14:textId="7AB3CAFD" w:rsidR="00B77518" w:rsidRDefault="000E565E" w:rsidP="00B77518">
            <w:r>
              <w:rPr>
                <w:rFonts w:ascii="Calibri" w:eastAsia="Calibri" w:hAnsi="Calibri" w:cs="Arial"/>
                <w:bdr w:val="nil"/>
                <w:lang w:val="de-DE"/>
              </w:rPr>
              <w:t xml:space="preserve">Liebe </w:t>
            </w:r>
            <w:r>
              <w:rPr>
                <w:rFonts w:ascii="Calibri" w:eastAsia="Calibri" w:hAnsi="Calibri" w:cs="Calibri"/>
                <w:bdr w:val="nil"/>
                <w:lang w:val="de-DE"/>
              </w:rPr>
              <w:t xml:space="preserve">Medicare-Mitglieder, heute, </w:t>
            </w:r>
            <w:r>
              <w:rPr>
                <w:rFonts w:ascii="Calibri" w:eastAsia="Calibri" w:hAnsi="Calibri" w:cs="Calibri"/>
                <w:bdr w:val="nil"/>
                <w:lang w:val="de-DE"/>
              </w:rPr>
              <w:t>beginnt die #MFPW. Beginnen Sie die Woche, indem Sie erfahren, wie Sie Ihre Medicare-Abrechnung lesen. #MFPW #MFPWbeneficiaries</w:t>
            </w:r>
          </w:p>
          <w:p w14:paraId="3C9C5B32" w14:textId="77777777" w:rsidR="002B1EB8" w:rsidRDefault="002B1EB8" w:rsidP="002B1EB8"/>
        </w:tc>
        <w:tc>
          <w:tcPr>
            <w:tcW w:w="1666" w:type="pct"/>
          </w:tcPr>
          <w:p w14:paraId="55636C8C" w14:textId="50E05103" w:rsidR="00B77518" w:rsidRPr="005C28AF" w:rsidRDefault="000E565E" w:rsidP="00B77518">
            <w:pPr>
              <w:rPr>
                <w:lang w:val="de-DE"/>
              </w:rPr>
            </w:pPr>
            <w:r>
              <w:rPr>
                <w:rFonts w:ascii="Calibri" w:eastAsia="Calibri" w:hAnsi="Calibri" w:cs="Calibri"/>
                <w:bdr w:val="nil"/>
                <w:lang w:val="de-DE"/>
              </w:rPr>
              <w:t>Liebe Medicare-Mitglieder, die Medicare-Woche gegen Betrug startet heute</w:t>
            </w:r>
            <w:r>
              <w:rPr>
                <w:rFonts w:ascii="Calibri" w:eastAsia="Calibri" w:hAnsi="Calibri" w:cs="Calibri"/>
                <w:bdr w:val="nil"/>
                <w:lang w:val="de-DE"/>
              </w:rPr>
              <w:t xml:space="preserve">. Beginnen Sie die Woche, indem Sie erfahren, wie Sie Ihre Medicare-Abrechnung lesen. </w:t>
            </w:r>
          </w:p>
          <w:p w14:paraId="62481977" w14:textId="77777777" w:rsidR="00B77518" w:rsidRPr="005C28AF" w:rsidRDefault="00B77518" w:rsidP="00B77518">
            <w:pPr>
              <w:rPr>
                <w:lang w:val="de-DE"/>
              </w:rPr>
            </w:pPr>
          </w:p>
          <w:p w14:paraId="0305C592" w14:textId="77777777" w:rsidR="00B77518" w:rsidRPr="005C28AF" w:rsidRDefault="000E565E" w:rsidP="00B77518">
            <w:pPr>
              <w:rPr>
                <w:lang w:val="de-DE"/>
              </w:rPr>
            </w:pPr>
            <w:r>
              <w:rPr>
                <w:rFonts w:ascii="Calibri" w:eastAsia="Calibri" w:hAnsi="Calibri" w:cs="Calibri"/>
                <w:bdr w:val="nil"/>
                <w:lang w:val="de-DE"/>
              </w:rPr>
              <w:t xml:space="preserve">Lesen Sie Ihre Medicare Summary </w:t>
            </w:r>
            <w:proofErr w:type="spellStart"/>
            <w:r>
              <w:rPr>
                <w:rFonts w:ascii="Calibri" w:eastAsia="Calibri" w:hAnsi="Calibri" w:cs="Calibri"/>
                <w:bdr w:val="nil"/>
                <w:lang w:val="de-DE"/>
              </w:rPr>
              <w:t>Notice</w:t>
            </w:r>
            <w:proofErr w:type="spellEnd"/>
            <w:r>
              <w:rPr>
                <w:rFonts w:ascii="Calibri" w:eastAsia="Calibri" w:hAnsi="Calibri" w:cs="Calibri"/>
                <w:bdr w:val="nil"/>
                <w:lang w:val="de-DE"/>
              </w:rPr>
              <w:t xml:space="preserve"> (MSN) und die Explanation </w:t>
            </w:r>
            <w:proofErr w:type="spellStart"/>
            <w:r>
              <w:rPr>
                <w:rFonts w:ascii="Calibri" w:eastAsia="Calibri" w:hAnsi="Calibri" w:cs="Calibri"/>
                <w:bdr w:val="nil"/>
                <w:lang w:val="de-DE"/>
              </w:rPr>
              <w:t>of</w:t>
            </w:r>
            <w:proofErr w:type="spellEnd"/>
            <w:r>
              <w:rPr>
                <w:rFonts w:ascii="Calibri" w:eastAsia="Calibri" w:hAnsi="Calibri" w:cs="Calibri"/>
                <w:bdr w:val="nil"/>
                <w:lang w:val="de-DE"/>
              </w:rPr>
              <w:t xml:space="preserve"> Benefits (EOB), die wir Ihnen per Post schicken, oder gehen Sie direkt auf Medicare.gov und verwalten Sie Ihre Anliegen digital. Nutzen Sie dieses Video des SMP, um zu erfahren, wie Sie Ihre Medicare-Abrechnungen lesen und wie Sie eventuelle Probleme melden können #MFPW #MFPWbeneficiaries </w:t>
            </w:r>
          </w:p>
          <w:p w14:paraId="0F7935A1" w14:textId="77777777" w:rsidR="002B1EB8" w:rsidRPr="005C28AF" w:rsidRDefault="002B1EB8" w:rsidP="002B1EB8">
            <w:pPr>
              <w:rPr>
                <w:lang w:val="de-DE"/>
              </w:rPr>
            </w:pPr>
          </w:p>
        </w:tc>
      </w:tr>
      <w:tr w:rsidR="002E2E65" w14:paraId="3456D3D7" w14:textId="77777777" w:rsidTr="00732195">
        <w:tc>
          <w:tcPr>
            <w:tcW w:w="1667" w:type="pct"/>
            <w:shd w:val="clear" w:color="auto" w:fill="auto"/>
          </w:tcPr>
          <w:p w14:paraId="1B447B03" w14:textId="77777777" w:rsidR="002B1EB8" w:rsidRPr="005C28AF" w:rsidRDefault="000E565E" w:rsidP="002B1EB8">
            <w:pPr>
              <w:rPr>
                <w:lang w:val="de-DE"/>
              </w:rPr>
            </w:pPr>
            <w:bookmarkStart w:id="2" w:name="_Hlk98926576"/>
            <w:r>
              <w:rPr>
                <w:rFonts w:ascii="Calibri" w:eastAsia="Calibri" w:hAnsi="Calibri" w:cs="Calibri"/>
                <w:bdr w:val="nil"/>
                <w:lang w:val="de-DE"/>
              </w:rPr>
              <w:t>Hierbei helfen Ihnen die drei Schritte Ihrer SMP: vorbeugen, erkennen, melden.</w:t>
            </w:r>
          </w:p>
          <w:bookmarkEnd w:id="2"/>
          <w:p w14:paraId="2D2FEB12" w14:textId="77777777" w:rsidR="002B1EB8" w:rsidRPr="005C28AF" w:rsidRDefault="002B1EB8" w:rsidP="002B1EB8">
            <w:pPr>
              <w:rPr>
                <w:lang w:val="de-DE"/>
              </w:rPr>
            </w:pPr>
          </w:p>
          <w:p w14:paraId="2259E83C" w14:textId="77777777" w:rsidR="00AE765F" w:rsidRPr="005C28AF" w:rsidRDefault="000E565E" w:rsidP="002B1EB8">
            <w:pPr>
              <w:rPr>
                <w:lang w:val="de-DE"/>
              </w:rPr>
            </w:pPr>
            <w:r>
              <w:rPr>
                <w:rFonts w:ascii="Calibri" w:eastAsia="Calibri" w:hAnsi="Calibri" w:cs="Calibri"/>
                <w:bdr w:val="nil"/>
                <w:lang w:val="de-DE"/>
              </w:rPr>
              <w:lastRenderedPageBreak/>
              <w:t xml:space="preserve">Vorbeugen: Öffnen und lesen Sie Ihre Medicare-Abrechnungen. </w:t>
            </w:r>
          </w:p>
          <w:p w14:paraId="6E2EFF57" w14:textId="77777777" w:rsidR="002B1EB8" w:rsidRPr="005C28AF" w:rsidRDefault="000E565E" w:rsidP="002B1EB8">
            <w:pPr>
              <w:rPr>
                <w:lang w:val="de-DE"/>
              </w:rPr>
            </w:pPr>
            <w:r>
              <w:rPr>
                <w:rFonts w:ascii="Calibri" w:eastAsia="Calibri" w:hAnsi="Calibri" w:cs="Calibri"/>
                <w:bdr w:val="nil"/>
                <w:lang w:val="de-DE"/>
              </w:rPr>
              <w:t>Erkennen: Achten Sie auf Dinge wie doppelte Gebühren oder Dienstleistungen, die Sie nicht kennen.</w:t>
            </w:r>
          </w:p>
          <w:p w14:paraId="1C0699A1" w14:textId="77777777" w:rsidR="002B1EB8" w:rsidRPr="005C28AF" w:rsidRDefault="000E565E" w:rsidP="002B1EB8">
            <w:pPr>
              <w:rPr>
                <w:lang w:val="de-DE"/>
              </w:rPr>
            </w:pPr>
            <w:r>
              <w:rPr>
                <w:rFonts w:ascii="Calibri" w:eastAsia="Calibri" w:hAnsi="Calibri" w:cs="Calibri"/>
                <w:bdr w:val="nil"/>
                <w:lang w:val="de-DE"/>
              </w:rPr>
              <w:t xml:space="preserve">Melden: Wenden Sie sich mit Ihren Fragen und Sorgen gerne an Ihre SMP. </w:t>
            </w:r>
          </w:p>
          <w:p w14:paraId="4440740E" w14:textId="77777777" w:rsidR="002B1EB8" w:rsidRPr="005C28AF" w:rsidRDefault="002B1EB8" w:rsidP="002B1EB8">
            <w:pPr>
              <w:rPr>
                <w:lang w:val="de-DE"/>
              </w:rPr>
            </w:pPr>
          </w:p>
          <w:p w14:paraId="77B10A42" w14:textId="77777777" w:rsidR="002B1EB8" w:rsidRPr="005C28AF" w:rsidRDefault="000E565E" w:rsidP="009447A6">
            <w:pPr>
              <w:rPr>
                <w:lang w:val="de-DE"/>
              </w:rPr>
            </w:pPr>
            <w:r>
              <w:rPr>
                <w:rFonts w:ascii="Calibri" w:eastAsia="Calibri" w:hAnsi="Calibri" w:cs="Calibri"/>
                <w:bdr w:val="nil"/>
                <w:lang w:val="de-DE"/>
              </w:rPr>
              <w:t xml:space="preserve">Ihre zuständige SMP finden Sie auf </w:t>
            </w:r>
            <w:hyperlink r:id="rId11" w:history="1">
              <w:r>
                <w:rPr>
                  <w:rFonts w:ascii="Calibri" w:eastAsia="Calibri" w:hAnsi="Calibri" w:cs="Calibri"/>
                  <w:color w:val="0563C1"/>
                  <w:u w:val="single"/>
                  <w:bdr w:val="nil"/>
                  <w:lang w:val="de-DE"/>
                </w:rPr>
                <w:t>www.smpresource.org</w:t>
              </w:r>
            </w:hyperlink>
            <w:r>
              <w:rPr>
                <w:rFonts w:ascii="Calibri" w:eastAsia="Calibri" w:hAnsi="Calibri" w:cs="Calibri"/>
                <w:bdr w:val="nil"/>
                <w:lang w:val="de-DE"/>
              </w:rPr>
              <w:t>.</w:t>
            </w:r>
          </w:p>
          <w:p w14:paraId="5DE389A0" w14:textId="77777777" w:rsidR="006D0A3B" w:rsidRPr="00B62495" w:rsidRDefault="000E565E" w:rsidP="009447A6">
            <w:r>
              <w:rPr>
                <w:rFonts w:ascii="Calibri" w:eastAsia="Calibri" w:hAnsi="Calibri" w:cs="Calibri"/>
                <w:bdr w:val="nil"/>
                <w:lang w:val="de-DE"/>
              </w:rPr>
              <w:t>#MFPW #MFPWbeneficiaries</w:t>
            </w:r>
          </w:p>
        </w:tc>
        <w:tc>
          <w:tcPr>
            <w:tcW w:w="1667" w:type="pct"/>
            <w:shd w:val="clear" w:color="auto" w:fill="auto"/>
          </w:tcPr>
          <w:p w14:paraId="7D239E81" w14:textId="77777777" w:rsidR="00B77518" w:rsidRPr="005C28AF" w:rsidRDefault="000E565E" w:rsidP="00B77518">
            <w:pPr>
              <w:rPr>
                <w:lang w:val="de-DE"/>
              </w:rPr>
            </w:pPr>
            <w:r>
              <w:rPr>
                <w:rFonts w:ascii="Calibri" w:eastAsia="Calibri" w:hAnsi="Calibri" w:cs="Calibri"/>
                <w:bdr w:val="nil"/>
                <w:lang w:val="de-DE"/>
              </w:rPr>
              <w:lastRenderedPageBreak/>
              <w:t xml:space="preserve">Hierbei helfen Ihnen die drei Schritte Ihrer SMP: vorbeugen, erkennen, melden. Ihre zuständige SMP finden Sie auf </w:t>
            </w:r>
            <w:hyperlink r:id="rId12" w:history="1">
              <w:r>
                <w:rPr>
                  <w:rFonts w:ascii="Calibri" w:eastAsia="Calibri" w:hAnsi="Calibri" w:cs="Calibri"/>
                  <w:color w:val="0563C1"/>
                  <w:u w:val="single"/>
                  <w:bdr w:val="nil"/>
                  <w:lang w:val="de-DE"/>
                </w:rPr>
                <w:t>www.smpresource.org</w:t>
              </w:r>
            </w:hyperlink>
            <w:r>
              <w:rPr>
                <w:rFonts w:ascii="Calibri" w:eastAsia="Calibri" w:hAnsi="Calibri" w:cs="Calibri"/>
                <w:bdr w:val="nil"/>
                <w:lang w:val="de-DE"/>
              </w:rPr>
              <w:t>. #MFPW #MFPWbeneficiaries</w:t>
            </w:r>
          </w:p>
          <w:p w14:paraId="5A84C3D5" w14:textId="77777777" w:rsidR="00B77518" w:rsidRPr="005C28AF" w:rsidRDefault="00B77518" w:rsidP="00B77518">
            <w:pPr>
              <w:rPr>
                <w:lang w:val="de-DE"/>
              </w:rPr>
            </w:pPr>
          </w:p>
          <w:p w14:paraId="32599DB8" w14:textId="77777777" w:rsidR="002B1EB8" w:rsidRPr="005C28AF" w:rsidRDefault="002B1EB8" w:rsidP="002B1EB8">
            <w:pPr>
              <w:rPr>
                <w:lang w:val="de-DE"/>
              </w:rPr>
            </w:pPr>
          </w:p>
        </w:tc>
        <w:tc>
          <w:tcPr>
            <w:tcW w:w="1666" w:type="pct"/>
          </w:tcPr>
          <w:p w14:paraId="33045F6E" w14:textId="77777777" w:rsidR="002B1EB8" w:rsidRPr="005C28AF" w:rsidRDefault="000E565E" w:rsidP="002B1EB8">
            <w:pPr>
              <w:rPr>
                <w:lang w:val="de-DE"/>
              </w:rPr>
            </w:pPr>
            <w:r>
              <w:rPr>
                <w:rFonts w:ascii="Calibri" w:eastAsia="Calibri" w:hAnsi="Calibri" w:cs="Calibri"/>
                <w:bdr w:val="nil"/>
                <w:lang w:val="de-DE"/>
              </w:rPr>
              <w:lastRenderedPageBreak/>
              <w:t>Hierbei helfen Ihnen die drei Schritte Ihrer SMP: vorbeugen, erkennen, melden.</w:t>
            </w:r>
          </w:p>
          <w:p w14:paraId="49CDD2A8" w14:textId="77777777" w:rsidR="002B1EB8" w:rsidRPr="005C28AF" w:rsidRDefault="002B1EB8" w:rsidP="002B1EB8">
            <w:pPr>
              <w:rPr>
                <w:lang w:val="de-DE"/>
              </w:rPr>
            </w:pPr>
          </w:p>
          <w:p w14:paraId="78174CBF" w14:textId="77777777" w:rsidR="00A51A71" w:rsidRPr="005C28AF" w:rsidRDefault="000E565E" w:rsidP="00A51A71">
            <w:pPr>
              <w:rPr>
                <w:lang w:val="de-DE"/>
              </w:rPr>
            </w:pPr>
            <w:r>
              <w:rPr>
                <w:rFonts w:ascii="Calibri" w:eastAsia="Calibri" w:hAnsi="Calibri" w:cs="Calibri"/>
                <w:bdr w:val="nil"/>
                <w:lang w:val="de-DE"/>
              </w:rPr>
              <w:lastRenderedPageBreak/>
              <w:t xml:space="preserve">Vorbeugen: Öffnen und lesen Sie Ihre Medicare-Abrechnungen. </w:t>
            </w:r>
          </w:p>
          <w:p w14:paraId="30E833CC" w14:textId="77777777" w:rsidR="00A51A71" w:rsidRPr="005C28AF" w:rsidRDefault="000E565E" w:rsidP="00A51A71">
            <w:pPr>
              <w:rPr>
                <w:lang w:val="de-DE"/>
              </w:rPr>
            </w:pPr>
            <w:r>
              <w:rPr>
                <w:rFonts w:ascii="Calibri" w:eastAsia="Calibri" w:hAnsi="Calibri" w:cs="Calibri"/>
                <w:bdr w:val="nil"/>
                <w:lang w:val="de-DE"/>
              </w:rPr>
              <w:t>Erkennen: Achten Sie auf Dinge wie doppelte Gebühren oder Dienstleistungen, die Sie nicht kennen.</w:t>
            </w:r>
          </w:p>
          <w:p w14:paraId="5717EF0D" w14:textId="77777777" w:rsidR="00A51A71" w:rsidRPr="005C28AF" w:rsidRDefault="000E565E" w:rsidP="00A51A71">
            <w:pPr>
              <w:rPr>
                <w:lang w:val="de-DE"/>
              </w:rPr>
            </w:pPr>
            <w:r>
              <w:rPr>
                <w:rFonts w:ascii="Calibri" w:eastAsia="Calibri" w:hAnsi="Calibri" w:cs="Calibri"/>
                <w:bdr w:val="nil"/>
                <w:lang w:val="de-DE"/>
              </w:rPr>
              <w:t xml:space="preserve">Melden: Wenden Sie sich mit Ihren Fragen und Sorgen gerne an Ihre SMP. </w:t>
            </w:r>
          </w:p>
          <w:p w14:paraId="4C3AACAC" w14:textId="77777777" w:rsidR="002B1EB8" w:rsidRPr="005C28AF" w:rsidRDefault="002B1EB8" w:rsidP="002B1EB8">
            <w:pPr>
              <w:rPr>
                <w:lang w:val="de-DE"/>
              </w:rPr>
            </w:pPr>
          </w:p>
          <w:p w14:paraId="01FF325B" w14:textId="77777777" w:rsidR="002B1EB8" w:rsidRPr="005C28AF" w:rsidRDefault="000E565E" w:rsidP="002B1EB8">
            <w:pPr>
              <w:rPr>
                <w:lang w:val="de-DE"/>
              </w:rPr>
            </w:pPr>
            <w:r>
              <w:rPr>
                <w:rFonts w:ascii="Calibri" w:eastAsia="Calibri" w:hAnsi="Calibri" w:cs="Calibri"/>
                <w:bdr w:val="nil"/>
                <w:lang w:val="de-DE"/>
              </w:rPr>
              <w:t xml:space="preserve">Ihre zuständige SMP finden Sie auf </w:t>
            </w:r>
            <w:hyperlink r:id="rId13" w:history="1">
              <w:r>
                <w:rPr>
                  <w:rFonts w:ascii="Calibri" w:eastAsia="Calibri" w:hAnsi="Calibri" w:cs="Calibri"/>
                  <w:color w:val="0563C1"/>
                  <w:u w:val="single"/>
                  <w:bdr w:val="nil"/>
                  <w:lang w:val="de-DE"/>
                </w:rPr>
                <w:t>www.smpresource.org</w:t>
              </w:r>
            </w:hyperlink>
            <w:r>
              <w:rPr>
                <w:rFonts w:ascii="Calibri" w:eastAsia="Calibri" w:hAnsi="Calibri" w:cs="Calibri"/>
                <w:bdr w:val="nil"/>
                <w:lang w:val="de-DE"/>
              </w:rPr>
              <w:t>.</w:t>
            </w:r>
          </w:p>
          <w:p w14:paraId="363B87CE" w14:textId="77777777" w:rsidR="006D0A3B" w:rsidRDefault="000E565E" w:rsidP="002B1EB8">
            <w:r>
              <w:rPr>
                <w:rFonts w:ascii="Calibri" w:eastAsia="Calibri" w:hAnsi="Calibri" w:cs="Calibri"/>
                <w:bdr w:val="nil"/>
                <w:lang w:val="de-DE"/>
              </w:rPr>
              <w:t>#MFPW #MFPWbeneficiaries</w:t>
            </w:r>
          </w:p>
          <w:p w14:paraId="24D5ACE7" w14:textId="77777777" w:rsidR="002B1EB8" w:rsidRDefault="002B1EB8" w:rsidP="002B1EB8"/>
        </w:tc>
      </w:tr>
    </w:tbl>
    <w:bookmarkEnd w:id="1"/>
    <w:p w14:paraId="0209A23F" w14:textId="77777777" w:rsidR="009E3A4E" w:rsidRDefault="000E565E" w:rsidP="00283B91">
      <w:pPr>
        <w:spacing w:after="0"/>
        <w:jc w:val="center"/>
      </w:pPr>
      <w:r>
        <w:lastRenderedPageBreak/>
        <w:fldChar w:fldCharType="begin"/>
      </w:r>
      <w:r w:rsidR="00F744DD">
        <w:instrText>HYPERLINK  \l "Top"</w:instrText>
      </w:r>
      <w:r>
        <w:fldChar w:fldCharType="separate"/>
      </w:r>
      <w:r>
        <w:rPr>
          <w:rFonts w:ascii="Calibri" w:eastAsia="Calibri" w:hAnsi="Calibri" w:cs="Calibri"/>
          <w:color w:val="0563C1"/>
          <w:u w:val="single"/>
          <w:bdr w:val="nil"/>
          <w:lang w:val="de-DE"/>
        </w:rPr>
        <w:t>Zum Seitenanfang</w:t>
      </w:r>
      <w:r>
        <w:rPr>
          <w:rStyle w:val="Hyperlink"/>
        </w:rPr>
        <w:fldChar w:fldCharType="end"/>
      </w:r>
    </w:p>
    <w:p w14:paraId="46A1F4C6" w14:textId="77777777" w:rsidR="00283B91" w:rsidRPr="00283B91" w:rsidRDefault="000E565E" w:rsidP="00283B91">
      <w:pPr>
        <w:spacing w:after="0"/>
        <w:rPr>
          <w:rFonts w:ascii="Franklin Gothic Book" w:hAnsi="Franklin Gothic Book"/>
          <w:sz w:val="24"/>
          <w:szCs w:val="24"/>
        </w:rPr>
      </w:pPr>
      <w:bookmarkStart w:id="3" w:name="Caregivers"/>
      <w:r>
        <w:rPr>
          <w:rFonts w:ascii="Franklin Gothic Book" w:eastAsia="Franklin Gothic Book" w:hAnsi="Franklin Gothic Book" w:cs="Franklin Gothic Book"/>
          <w:sz w:val="24"/>
          <w:szCs w:val="24"/>
          <w:bdr w:val="nil"/>
          <w:lang w:val="de-DE"/>
        </w:rPr>
        <w:t>Betreuer</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2E2E65" w14:paraId="1811B0D4" w14:textId="77777777" w:rsidTr="00732195">
        <w:tc>
          <w:tcPr>
            <w:tcW w:w="1667" w:type="pct"/>
            <w:shd w:val="clear" w:color="auto" w:fill="43B6DB"/>
          </w:tcPr>
          <w:bookmarkEnd w:id="3"/>
          <w:p w14:paraId="4E381803" w14:textId="77777777" w:rsidR="00732195" w:rsidRPr="00283B91" w:rsidRDefault="000E565E" w:rsidP="00732195">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de-DE"/>
              </w:rPr>
              <w:t>Facebook</w:t>
            </w:r>
          </w:p>
        </w:tc>
        <w:tc>
          <w:tcPr>
            <w:tcW w:w="1667" w:type="pct"/>
            <w:shd w:val="clear" w:color="auto" w:fill="43B6DB"/>
          </w:tcPr>
          <w:p w14:paraId="58FE11E4" w14:textId="765BAD0C" w:rsidR="00732195" w:rsidRPr="00283B91" w:rsidRDefault="000E565E" w:rsidP="00732195">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de-DE"/>
              </w:rPr>
              <w:t>Twitter/X</w:t>
            </w:r>
          </w:p>
        </w:tc>
        <w:tc>
          <w:tcPr>
            <w:tcW w:w="1666" w:type="pct"/>
            <w:shd w:val="clear" w:color="auto" w:fill="43B6DB"/>
          </w:tcPr>
          <w:p w14:paraId="260139C3" w14:textId="77777777" w:rsidR="00732195" w:rsidRPr="00283B91" w:rsidRDefault="000E565E" w:rsidP="00732195">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de-DE"/>
              </w:rPr>
              <w:t>LinkedIn</w:t>
            </w:r>
          </w:p>
        </w:tc>
      </w:tr>
      <w:tr w:rsidR="002E2E65" w14:paraId="705B60D4" w14:textId="77777777" w:rsidTr="00732195">
        <w:tc>
          <w:tcPr>
            <w:tcW w:w="1667" w:type="pct"/>
          </w:tcPr>
          <w:p w14:paraId="79B97753" w14:textId="77777777" w:rsidR="00AE765F" w:rsidRPr="005C28AF" w:rsidRDefault="000E565E" w:rsidP="00F11D71">
            <w:pPr>
              <w:rPr>
                <w:lang w:val="de-DE"/>
              </w:rPr>
            </w:pPr>
            <w:r>
              <w:rPr>
                <w:rFonts w:ascii="Calibri" w:eastAsia="Calibri" w:hAnsi="Calibri" w:cs="Calibri"/>
                <w:bdr w:val="nil"/>
                <w:lang w:val="de-DE"/>
              </w:rPr>
              <w:t xml:space="preserve">Als Betreuer können Sie sich an der Medicare Woche gegen Betrug beteiligen, indem Sie sich selbst und Ihren Kunden oder Angehörigen beibringen, wie man Betrug, Fehler und Missbrauch im Gesundheitswesen verhindert und aufdeckt. </w:t>
            </w:r>
          </w:p>
          <w:p w14:paraId="5B23A1D6" w14:textId="77777777" w:rsidR="00AE765F" w:rsidRPr="005C28AF" w:rsidRDefault="00AE765F" w:rsidP="00F11D71">
            <w:pPr>
              <w:rPr>
                <w:lang w:val="de-DE"/>
              </w:rPr>
            </w:pPr>
          </w:p>
          <w:p w14:paraId="01048429" w14:textId="77777777" w:rsidR="009447A6" w:rsidRPr="005C28AF" w:rsidRDefault="000E565E" w:rsidP="00F11D71">
            <w:pPr>
              <w:rPr>
                <w:lang w:val="de-DE"/>
              </w:rPr>
            </w:pPr>
            <w:r>
              <w:rPr>
                <w:rFonts w:ascii="Calibri" w:eastAsia="Calibri" w:hAnsi="Calibri" w:cs="Calibri"/>
                <w:bdr w:val="nil"/>
                <w:lang w:val="de-DE"/>
              </w:rPr>
              <w:t xml:space="preserve">Halten Sie Ausschau nach Schachteln mit Knieschienen (auch bekannt als langlebige medizinische Ausrüstung oder DME), die im Haus herumliegen Dies ist ein gängiger Betrug und kann bedeuten, dass Ihr Kunde oder Angehöriger ein Opfer geworden ist. </w:t>
            </w:r>
          </w:p>
          <w:p w14:paraId="254EBE36" w14:textId="77777777" w:rsidR="009447A6" w:rsidRPr="005C28AF" w:rsidRDefault="009447A6" w:rsidP="00F11D71">
            <w:pPr>
              <w:rPr>
                <w:lang w:val="de-DE"/>
              </w:rPr>
            </w:pPr>
          </w:p>
          <w:p w14:paraId="58E3E2A0" w14:textId="77777777" w:rsidR="00F11D71" w:rsidRDefault="000E565E" w:rsidP="00F11D71">
            <w:r>
              <w:rPr>
                <w:rFonts w:ascii="Calibri" w:eastAsia="Calibri" w:hAnsi="Calibri" w:cs="Calibri"/>
                <w:bdr w:val="nil"/>
                <w:lang w:val="de-DE"/>
              </w:rPr>
              <w:t>Ihre Verdachtsmeldungen können Sie jederzeit an die zuständige Senior Medicare Patrol (SMP) richten. #MFPW #MFPWcaregivers</w:t>
            </w:r>
          </w:p>
        </w:tc>
        <w:tc>
          <w:tcPr>
            <w:tcW w:w="1667" w:type="pct"/>
          </w:tcPr>
          <w:p w14:paraId="397A04A1" w14:textId="77777777" w:rsidR="00F11D71" w:rsidRPr="005C28AF" w:rsidRDefault="000E565E" w:rsidP="00F11D71">
            <w:pPr>
              <w:rPr>
                <w:lang w:val="de-DE"/>
              </w:rPr>
            </w:pPr>
            <w:r>
              <w:rPr>
                <w:rFonts w:ascii="Calibri" w:eastAsia="Calibri" w:hAnsi="Calibri" w:cs="Arial"/>
                <w:bdr w:val="nil"/>
                <w:lang w:val="de-DE"/>
              </w:rPr>
              <w:t xml:space="preserve"> </w:t>
            </w:r>
            <w:r>
              <w:rPr>
                <w:rFonts w:ascii="Calibri" w:eastAsia="Calibri" w:hAnsi="Calibri" w:cs="Calibri"/>
                <w:bdr w:val="nil"/>
                <w:lang w:val="de-DE"/>
              </w:rPr>
              <w:t>Nutzen Sie als Betreuer die #MFPW, um sich und die von Ihnen betreuten Mitglieder und Ihre Angehörigen darüber zu informieren, wie sie Betrug, Fehler und Missbrauch im Gesundheitswesen erkennen und vorbeugen können. Erfahren Sie mehr auf smpresource.org/medicare-fraud-prevention-week.aspx.</w:t>
            </w:r>
          </w:p>
          <w:p w14:paraId="1910773F" w14:textId="77777777" w:rsidR="00FF3CF6" w:rsidRPr="0021607F" w:rsidRDefault="000E565E" w:rsidP="00F11D71">
            <w:r>
              <w:rPr>
                <w:rFonts w:ascii="Calibri" w:eastAsia="Calibri" w:hAnsi="Calibri" w:cs="Calibri"/>
                <w:bdr w:val="nil"/>
                <w:lang w:val="de-DE"/>
              </w:rPr>
              <w:t>#MFPW #MFPWcaregivers</w:t>
            </w:r>
          </w:p>
        </w:tc>
        <w:tc>
          <w:tcPr>
            <w:tcW w:w="1666" w:type="pct"/>
          </w:tcPr>
          <w:p w14:paraId="27BB6ECD" w14:textId="77777777" w:rsidR="00A51A71" w:rsidRPr="005C28AF" w:rsidRDefault="000E565E" w:rsidP="00F11D71">
            <w:pPr>
              <w:rPr>
                <w:lang w:val="de-DE"/>
              </w:rPr>
            </w:pPr>
            <w:r>
              <w:rPr>
                <w:rFonts w:ascii="Calibri" w:eastAsia="Calibri" w:hAnsi="Calibri" w:cs="Calibri"/>
                <w:bdr w:val="nil"/>
                <w:lang w:val="de-DE"/>
              </w:rPr>
              <w:t>Informieren Sie sich als Betreuer und die von Ihnen betreuten Mitglieder und Ihre Angehörigen darüber, wie Betrug, Fehler und Missbrauch im Gesundheitswesen erkannt und verhindert werden können.</w:t>
            </w:r>
          </w:p>
          <w:p w14:paraId="5C9669D0" w14:textId="77777777" w:rsidR="00A51A71" w:rsidRPr="005C28AF" w:rsidRDefault="00A51A71" w:rsidP="00F11D71">
            <w:pPr>
              <w:rPr>
                <w:lang w:val="de-DE"/>
              </w:rPr>
            </w:pPr>
          </w:p>
          <w:p w14:paraId="11664B60" w14:textId="77777777" w:rsidR="00A51A71" w:rsidRPr="005C28AF" w:rsidRDefault="000E565E" w:rsidP="00F11D71">
            <w:pPr>
              <w:rPr>
                <w:lang w:val="de-DE"/>
              </w:rPr>
            </w:pPr>
            <w:r>
              <w:rPr>
                <w:rFonts w:ascii="Calibri" w:eastAsia="Calibri" w:hAnsi="Calibri" w:cs="Calibri"/>
                <w:bdr w:val="nil"/>
                <w:lang w:val="de-DE"/>
              </w:rPr>
              <w:t>Halten Sie Ausschau nach Schachteln mit Knieschienen (auch bekannt als langlebige medizinische Ausrüstung oder DME), die im Haus herumliegen Dies ist ein gängiger Betrug und kann bedeuten, dass Ihr Kunde oder Angehöriger ein Opfer geworden ist.</w:t>
            </w:r>
          </w:p>
          <w:p w14:paraId="1C664A30" w14:textId="77777777" w:rsidR="00A51A71" w:rsidRPr="005C28AF" w:rsidRDefault="00A51A71" w:rsidP="00F11D71">
            <w:pPr>
              <w:rPr>
                <w:lang w:val="de-DE"/>
              </w:rPr>
            </w:pPr>
          </w:p>
          <w:p w14:paraId="1B38E2A4" w14:textId="77777777" w:rsidR="00F11D71" w:rsidRPr="0021607F" w:rsidRDefault="000E565E" w:rsidP="00F11D71">
            <w:r>
              <w:rPr>
                <w:rFonts w:ascii="Calibri" w:eastAsia="Calibri" w:hAnsi="Calibri" w:cs="Calibri"/>
                <w:bdr w:val="nil"/>
                <w:lang w:val="de-DE"/>
              </w:rPr>
              <w:t>Ihre Verdachtsmeldungen können Sie jederzeit an die zuständige Senior Medicare Patrol (SMP) richten. #MFPW #MFPWcaregivers</w:t>
            </w:r>
          </w:p>
        </w:tc>
      </w:tr>
      <w:tr w:rsidR="002E2E65" w14:paraId="7221F0C7" w14:textId="77777777" w:rsidTr="00732195">
        <w:tc>
          <w:tcPr>
            <w:tcW w:w="1667" w:type="pct"/>
          </w:tcPr>
          <w:p w14:paraId="7C9E8824" w14:textId="77777777" w:rsidR="00F11D71" w:rsidRDefault="000E565E" w:rsidP="00F11D71">
            <w:r>
              <w:rPr>
                <w:rFonts w:ascii="Calibri" w:eastAsia="Calibri" w:hAnsi="Calibri" w:cs="Arial"/>
                <w:bdr w:val="nil"/>
                <w:lang w:val="de-DE"/>
              </w:rPr>
              <w:t xml:space="preserve">Liebe </w:t>
            </w:r>
            <w:bookmarkStart w:id="4" w:name="_Hlk98849375"/>
            <w:r>
              <w:rPr>
                <w:rFonts w:ascii="Calibri" w:eastAsia="Calibri" w:hAnsi="Calibri" w:cs="Calibri"/>
                <w:bdr w:val="nil"/>
                <w:lang w:val="de-DE"/>
              </w:rPr>
              <w:t xml:space="preserve">Betreuer, erinnern Sie die von Ihnen betreuten Mitglieder und Ihre eigenen Angehörigen daran, ihre Medicare-Nummer und andere personenbezogene Daten niemals über das Telefon weiterzugeben. Sollte es doch einmal geschehen, </w:t>
            </w:r>
            <w:r>
              <w:rPr>
                <w:rFonts w:ascii="Calibri" w:eastAsia="Calibri" w:hAnsi="Calibri" w:cs="Calibri"/>
                <w:bdr w:val="nil"/>
                <w:lang w:val="de-DE"/>
              </w:rPr>
              <w:lastRenderedPageBreak/>
              <w:t>wenden Sie sich sofort an Ihre Senior Medicare Patrol (SMP). #MFPW #MFPWcaregivers</w:t>
            </w:r>
            <w:bookmarkEnd w:id="4"/>
          </w:p>
        </w:tc>
        <w:tc>
          <w:tcPr>
            <w:tcW w:w="1667" w:type="pct"/>
          </w:tcPr>
          <w:p w14:paraId="68D9D944" w14:textId="77777777" w:rsidR="00F11D71" w:rsidRDefault="000E565E" w:rsidP="00F11D71">
            <w:r>
              <w:rPr>
                <w:rFonts w:ascii="Calibri" w:eastAsia="Calibri" w:hAnsi="Calibri" w:cs="Arial"/>
                <w:bdr w:val="nil"/>
                <w:lang w:val="de-DE"/>
              </w:rPr>
              <w:lastRenderedPageBreak/>
              <w:t xml:space="preserve">Liebe </w:t>
            </w:r>
            <w:r>
              <w:rPr>
                <w:rFonts w:ascii="Calibri" w:eastAsia="Calibri" w:hAnsi="Calibri" w:cs="Calibri"/>
                <w:bdr w:val="nil"/>
                <w:lang w:val="de-DE"/>
              </w:rPr>
              <w:t xml:space="preserve">Betreuer, erinnern Sie die von Ihnen betreuten Mitglieder und Ihre eigenen Angehörigen daran, ihre Medicare-Nummer und andere personenbezogene Daten niemals über das Telefon weiterzugeben. Sollte es doch einmal geschehen, </w:t>
            </w:r>
            <w:r>
              <w:rPr>
                <w:rFonts w:ascii="Calibri" w:eastAsia="Calibri" w:hAnsi="Calibri" w:cs="Calibri"/>
                <w:bdr w:val="nil"/>
                <w:lang w:val="de-DE"/>
              </w:rPr>
              <w:lastRenderedPageBreak/>
              <w:t>wenden Sie sich sofort an Ihre Senior Medicare Patrol (SMP). #MFPW #MFPWcaregivers</w:t>
            </w:r>
          </w:p>
        </w:tc>
        <w:tc>
          <w:tcPr>
            <w:tcW w:w="1666" w:type="pct"/>
          </w:tcPr>
          <w:p w14:paraId="08710037" w14:textId="77777777" w:rsidR="00F11D71" w:rsidRDefault="000E565E" w:rsidP="00F11D71">
            <w:r>
              <w:rPr>
                <w:rFonts w:ascii="Calibri" w:eastAsia="Calibri" w:hAnsi="Calibri" w:cs="Arial"/>
                <w:bdr w:val="nil"/>
                <w:lang w:val="de-DE"/>
              </w:rPr>
              <w:lastRenderedPageBreak/>
              <w:t xml:space="preserve">Liebe </w:t>
            </w:r>
            <w:r>
              <w:rPr>
                <w:rFonts w:ascii="Calibri" w:eastAsia="Calibri" w:hAnsi="Calibri" w:cs="Calibri"/>
                <w:bdr w:val="nil"/>
                <w:lang w:val="de-DE"/>
              </w:rPr>
              <w:t xml:space="preserve">Betreuer, erinnern Sie die von Ihnen betreuten Mitglieder und Ihre eigenen Angehörigen daran, ihre Medicare-Nummer und andere personenbezogene Daten niemals über das Telefon weiterzugeben. Sollte es doch einmal geschehen, </w:t>
            </w:r>
            <w:r>
              <w:rPr>
                <w:rFonts w:ascii="Calibri" w:eastAsia="Calibri" w:hAnsi="Calibri" w:cs="Calibri"/>
                <w:bdr w:val="nil"/>
                <w:lang w:val="de-DE"/>
              </w:rPr>
              <w:lastRenderedPageBreak/>
              <w:t>wenden Sie sich sofort an Ihre Senior Medicare Patrol (SMP). #MFPW #MFPWcaregivers</w:t>
            </w:r>
          </w:p>
        </w:tc>
      </w:tr>
    </w:tbl>
    <w:p w14:paraId="1B1F0858" w14:textId="77777777" w:rsidR="00283B91" w:rsidRDefault="000E565E" w:rsidP="00283B91">
      <w:pPr>
        <w:spacing w:after="0"/>
        <w:jc w:val="center"/>
      </w:pPr>
      <w:hyperlink w:anchor="Top" w:history="1">
        <w:r>
          <w:rPr>
            <w:rFonts w:ascii="Calibri" w:eastAsia="Calibri" w:hAnsi="Calibri" w:cs="Calibri"/>
            <w:color w:val="0563C1"/>
            <w:u w:val="single"/>
            <w:bdr w:val="nil"/>
            <w:lang w:val="de-DE"/>
          </w:rPr>
          <w:t>Zum Seitenanfang</w:t>
        </w:r>
      </w:hyperlink>
    </w:p>
    <w:p w14:paraId="108FC9CD" w14:textId="77777777" w:rsidR="00283B91" w:rsidRDefault="00283B91" w:rsidP="002115B9">
      <w:pPr>
        <w:spacing w:after="0"/>
      </w:pPr>
    </w:p>
    <w:p w14:paraId="773D68EE" w14:textId="77777777" w:rsidR="00283B91" w:rsidRPr="00283B91" w:rsidRDefault="000E565E" w:rsidP="00283B91">
      <w:pPr>
        <w:spacing w:after="0"/>
        <w:rPr>
          <w:rFonts w:ascii="Franklin Gothic Book" w:hAnsi="Franklin Gothic Book"/>
          <w:sz w:val="24"/>
          <w:szCs w:val="24"/>
        </w:rPr>
      </w:pPr>
      <w:bookmarkStart w:id="5" w:name="Family"/>
      <w:r>
        <w:rPr>
          <w:rFonts w:ascii="Franklin Gothic Book" w:eastAsia="Franklin Gothic Book" w:hAnsi="Franklin Gothic Book" w:cs="Franklin Gothic Book"/>
          <w:sz w:val="24"/>
          <w:szCs w:val="24"/>
          <w:bdr w:val="nil"/>
          <w:lang w:val="de-DE"/>
        </w:rPr>
        <w:t>Familien</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2E2E65" w14:paraId="3ADBAF7E" w14:textId="77777777" w:rsidTr="00732195">
        <w:tc>
          <w:tcPr>
            <w:tcW w:w="1667" w:type="pct"/>
            <w:shd w:val="clear" w:color="auto" w:fill="43B6DB"/>
          </w:tcPr>
          <w:bookmarkEnd w:id="5"/>
          <w:p w14:paraId="09EF59CA" w14:textId="77777777" w:rsidR="00732195" w:rsidRPr="00283B91" w:rsidRDefault="000E565E"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de-DE"/>
              </w:rPr>
              <w:t>Facebook</w:t>
            </w:r>
          </w:p>
        </w:tc>
        <w:tc>
          <w:tcPr>
            <w:tcW w:w="1667" w:type="pct"/>
            <w:shd w:val="clear" w:color="auto" w:fill="43B6DB"/>
          </w:tcPr>
          <w:p w14:paraId="3E546071" w14:textId="519835D2" w:rsidR="00732195" w:rsidRPr="00283B91" w:rsidRDefault="000E565E"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de-DE"/>
              </w:rPr>
              <w:t>Twitter/X</w:t>
            </w:r>
          </w:p>
        </w:tc>
        <w:tc>
          <w:tcPr>
            <w:tcW w:w="1666" w:type="pct"/>
            <w:shd w:val="clear" w:color="auto" w:fill="43B6DB"/>
          </w:tcPr>
          <w:p w14:paraId="4604A285" w14:textId="77777777" w:rsidR="00732195" w:rsidRPr="00283B91" w:rsidRDefault="000E565E"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de-DE"/>
              </w:rPr>
              <w:t>LinkedIn</w:t>
            </w:r>
          </w:p>
        </w:tc>
      </w:tr>
      <w:tr w:rsidR="002E2E65" w14:paraId="40B78909" w14:textId="77777777" w:rsidTr="00732195">
        <w:tc>
          <w:tcPr>
            <w:tcW w:w="1667" w:type="pct"/>
          </w:tcPr>
          <w:p w14:paraId="18E85330" w14:textId="77777777" w:rsidR="004C2DC4" w:rsidRDefault="000E565E" w:rsidP="004C2DC4">
            <w:r>
              <w:rPr>
                <w:rFonts w:ascii="Calibri" w:eastAsia="Calibri" w:hAnsi="Calibri" w:cs="Arial"/>
                <w:bdr w:val="nil"/>
                <w:lang w:val="de-DE"/>
              </w:rPr>
              <w:t xml:space="preserve">Liebe </w:t>
            </w:r>
            <w:r>
              <w:rPr>
                <w:rFonts w:ascii="Calibri" w:eastAsia="Calibri" w:hAnsi="Calibri" w:cs="Calibri"/>
                <w:bdr w:val="nil"/>
                <w:lang w:val="de-DE"/>
              </w:rPr>
              <w:t>Familien, erinnern Sie Ihre Angehörigen zur Medicare-Woche gegen Betrug daran, ihre Medicare-Nummer genauso wie ihre Kreditkartennummer zu schützen. #MFPW #MFPWfamily</w:t>
            </w:r>
          </w:p>
        </w:tc>
        <w:tc>
          <w:tcPr>
            <w:tcW w:w="1667" w:type="pct"/>
          </w:tcPr>
          <w:p w14:paraId="23CC06D2" w14:textId="77777777" w:rsidR="004C2DC4" w:rsidRDefault="000E565E" w:rsidP="004C2DC4">
            <w:r>
              <w:rPr>
                <w:rFonts w:ascii="Calibri" w:eastAsia="Calibri" w:hAnsi="Calibri" w:cs="Arial"/>
                <w:bdr w:val="nil"/>
                <w:lang w:val="de-DE"/>
              </w:rPr>
              <w:t xml:space="preserve">Liebe </w:t>
            </w:r>
            <w:r>
              <w:rPr>
                <w:rFonts w:ascii="Calibri" w:eastAsia="Calibri" w:hAnsi="Calibri" w:cs="Calibri"/>
                <w:bdr w:val="nil"/>
                <w:lang w:val="de-DE"/>
              </w:rPr>
              <w:t xml:space="preserve">Familien, erinnern Sie Ihre Angehörigen zur </w:t>
            </w:r>
            <w:r>
              <w:rPr>
                <w:rFonts w:ascii="Calibri" w:eastAsia="Calibri" w:hAnsi="Calibri" w:cs="Calibri"/>
                <w:bdr w:val="nil"/>
                <w:lang w:val="de-DE"/>
              </w:rPr>
              <w:t>Medicare-Woche gegen Betrug daran, ihre Medicare-Nummer genauso wie ihre Kreditkartennummer zu schützen. #MFPW #MFPWfamily</w:t>
            </w:r>
          </w:p>
        </w:tc>
        <w:tc>
          <w:tcPr>
            <w:tcW w:w="1666" w:type="pct"/>
          </w:tcPr>
          <w:p w14:paraId="652E6A79" w14:textId="77777777" w:rsidR="004C2DC4" w:rsidRDefault="000E565E" w:rsidP="004C2DC4">
            <w:r>
              <w:rPr>
                <w:rFonts w:ascii="Calibri" w:eastAsia="Calibri" w:hAnsi="Calibri" w:cs="Arial"/>
                <w:bdr w:val="nil"/>
                <w:lang w:val="de-DE"/>
              </w:rPr>
              <w:t xml:space="preserve">Liebe </w:t>
            </w:r>
            <w:r>
              <w:rPr>
                <w:rFonts w:ascii="Calibri" w:eastAsia="Calibri" w:hAnsi="Calibri" w:cs="Calibri"/>
                <w:bdr w:val="nil"/>
                <w:lang w:val="de-DE"/>
              </w:rPr>
              <w:t>Familien, erinnern Sie Ihre Angehörigen zur Medicare-Woche gegen Betrug daran, ihre Medicare-Nummer genauso wie ihre Kreditkartennummer zu schützen. #MFPW #MFPWfamily</w:t>
            </w:r>
          </w:p>
        </w:tc>
      </w:tr>
      <w:tr w:rsidR="002E2E65" w14:paraId="6B7D4797" w14:textId="77777777" w:rsidTr="00732195">
        <w:tc>
          <w:tcPr>
            <w:tcW w:w="1667" w:type="pct"/>
          </w:tcPr>
          <w:p w14:paraId="5C10F962" w14:textId="77777777" w:rsidR="004C2DC4" w:rsidRDefault="000E565E" w:rsidP="004C2DC4">
            <w:r>
              <w:rPr>
                <w:rFonts w:ascii="Calibri" w:eastAsia="Calibri" w:hAnsi="Calibri" w:cs="Arial"/>
                <w:bdr w:val="nil"/>
                <w:lang w:val="de-DE"/>
              </w:rPr>
              <w:t xml:space="preserve">Liebe </w:t>
            </w:r>
            <w:r>
              <w:rPr>
                <w:rFonts w:ascii="Calibri" w:eastAsia="Calibri" w:hAnsi="Calibri" w:cs="Calibri"/>
                <w:bdr w:val="nil"/>
                <w:lang w:val="de-DE"/>
              </w:rPr>
              <w:t xml:space="preserve">Familien, weisen Sie Ihre Angehörigen darauf hin, ihre Medicare-Abrechnungen genau auf Betrug, Fehler und Missbrauch zu überprüfen und ihre Medicare-Nummer niemals über das Telefon weiterzugeben. #MFPW </w:t>
            </w:r>
            <w:r>
              <w:rPr>
                <w:rFonts w:ascii="Calibri" w:eastAsia="Calibri" w:hAnsi="Calibri" w:cs="Calibri"/>
                <w:bdr w:val="nil"/>
                <w:lang w:val="de-DE"/>
              </w:rPr>
              <w:t>#MFPWfamily</w:t>
            </w:r>
          </w:p>
        </w:tc>
        <w:tc>
          <w:tcPr>
            <w:tcW w:w="1667" w:type="pct"/>
          </w:tcPr>
          <w:p w14:paraId="123BF9A6" w14:textId="77777777" w:rsidR="004C2DC4" w:rsidRPr="0021607F" w:rsidRDefault="000E565E" w:rsidP="004C2DC4">
            <w:r>
              <w:rPr>
                <w:rFonts w:ascii="Calibri" w:eastAsia="Calibri" w:hAnsi="Calibri" w:cs="Arial"/>
                <w:bdr w:val="nil"/>
                <w:lang w:val="de-DE"/>
              </w:rPr>
              <w:t xml:space="preserve">Liebe </w:t>
            </w:r>
            <w:r>
              <w:rPr>
                <w:rFonts w:ascii="Calibri" w:eastAsia="Calibri" w:hAnsi="Calibri" w:cs="Calibri"/>
                <w:bdr w:val="nil"/>
                <w:lang w:val="de-DE"/>
              </w:rPr>
              <w:t>Familien, weisen Sie Ihre Angehörigen darauf hin, ihre Medicare-Abrechnungen genau auf Betrug, Fehler und Missbrauch zu überprüfen und ihre Medicare-Nummer niemals über das Telefon weiterzugeben. #MFPW #MFPWfamily</w:t>
            </w:r>
          </w:p>
        </w:tc>
        <w:tc>
          <w:tcPr>
            <w:tcW w:w="1666" w:type="pct"/>
          </w:tcPr>
          <w:p w14:paraId="21E50F00" w14:textId="77777777" w:rsidR="004C2DC4" w:rsidRPr="0021607F" w:rsidRDefault="000E565E" w:rsidP="004C2DC4">
            <w:r>
              <w:rPr>
                <w:rFonts w:ascii="Calibri" w:eastAsia="Calibri" w:hAnsi="Calibri" w:cs="Arial"/>
                <w:bdr w:val="nil"/>
                <w:lang w:val="de-DE"/>
              </w:rPr>
              <w:t xml:space="preserve">Liebe </w:t>
            </w:r>
            <w:r>
              <w:rPr>
                <w:rFonts w:ascii="Calibri" w:eastAsia="Calibri" w:hAnsi="Calibri" w:cs="Calibri"/>
                <w:bdr w:val="nil"/>
                <w:lang w:val="de-DE"/>
              </w:rPr>
              <w:t>Familien, weisen Sie Ihre Angehörigen darauf hin, ihre Medicare-Abrechnungen genau auf Betrug, Fehler und Missbrauch zu überprüfen und ihre Medicare-Nummer niemals über das Telefon weiterzugeben. #MFPW #MFPWfamily</w:t>
            </w:r>
          </w:p>
        </w:tc>
      </w:tr>
      <w:tr w:rsidR="002E2E65" w14:paraId="1184AE6F" w14:textId="77777777" w:rsidTr="00620518">
        <w:trPr>
          <w:trHeight w:val="2132"/>
        </w:trPr>
        <w:tc>
          <w:tcPr>
            <w:tcW w:w="1667" w:type="pct"/>
          </w:tcPr>
          <w:p w14:paraId="40306ED5" w14:textId="77777777" w:rsidR="004C2DC4" w:rsidRPr="007367D9" w:rsidRDefault="000E565E" w:rsidP="004C2DC4">
            <w:r>
              <w:rPr>
                <w:rFonts w:ascii="Calibri" w:eastAsia="Calibri" w:hAnsi="Calibri" w:cs="Arial"/>
                <w:bdr w:val="nil"/>
                <w:lang w:val="de-DE"/>
              </w:rPr>
              <w:t xml:space="preserve">Liebe </w:t>
            </w:r>
            <w:r>
              <w:rPr>
                <w:rFonts w:ascii="Calibri" w:eastAsia="Calibri" w:hAnsi="Calibri" w:cs="Calibri"/>
                <w:bdr w:val="nil"/>
                <w:lang w:val="de-DE"/>
              </w:rPr>
              <w:t xml:space="preserve">Familien, helfen Sie Ihren Angehörigen bei der </w:t>
            </w:r>
            <w:r>
              <w:rPr>
                <w:rFonts w:ascii="Calibri" w:eastAsia="Calibri" w:hAnsi="Calibri" w:cs="Calibri"/>
                <w:bdr w:val="nil"/>
                <w:lang w:val="de-DE"/>
              </w:rPr>
              <w:t>Erstellung eines Nutzerkontos auf Medicare.gov, damit sie ihre Angelegenheiten online abwickeln können, oder erinnern Sie sie daran, ihre Quartalsabrechnungen genau zu überprüfen, sobald sie in der Post gelandet sind. #MFPW #MFPWfamily</w:t>
            </w:r>
          </w:p>
          <w:p w14:paraId="1D18A857" w14:textId="77777777" w:rsidR="004C2DC4" w:rsidRPr="007367D9" w:rsidRDefault="004C2DC4" w:rsidP="004C2DC4"/>
        </w:tc>
        <w:tc>
          <w:tcPr>
            <w:tcW w:w="1667" w:type="pct"/>
          </w:tcPr>
          <w:p w14:paraId="55FEC59B" w14:textId="77777777" w:rsidR="004C2DC4" w:rsidRPr="007367D9" w:rsidRDefault="000E565E" w:rsidP="004C2DC4">
            <w:r>
              <w:rPr>
                <w:rFonts w:ascii="Calibri" w:eastAsia="Calibri" w:hAnsi="Calibri" w:cs="Arial"/>
                <w:bdr w:val="nil"/>
                <w:lang w:val="de-DE"/>
              </w:rPr>
              <w:t xml:space="preserve">Liebe </w:t>
            </w:r>
            <w:r>
              <w:rPr>
                <w:rFonts w:ascii="Calibri" w:eastAsia="Calibri" w:hAnsi="Calibri" w:cs="Calibri"/>
                <w:bdr w:val="nil"/>
                <w:lang w:val="de-DE"/>
              </w:rPr>
              <w:t>Familien, helfen Sie Ihren Angehörigen bei der Erstellung eines Nutzerkontos auf Medicare.gov, damit sie ihre Angelegenheiten online abwickeln können, oder erinnern Sie sie daran, ihre Quartalsabrechnungen genau zu überprüfen, sobald sie in der Post gelandet sind. #MFPW #MFPWfamily</w:t>
            </w:r>
          </w:p>
        </w:tc>
        <w:tc>
          <w:tcPr>
            <w:tcW w:w="1666" w:type="pct"/>
          </w:tcPr>
          <w:p w14:paraId="29EFA766" w14:textId="77777777" w:rsidR="004C2DC4" w:rsidRPr="007367D9" w:rsidRDefault="000E565E" w:rsidP="004C2DC4">
            <w:r>
              <w:rPr>
                <w:rFonts w:ascii="Calibri" w:eastAsia="Calibri" w:hAnsi="Calibri" w:cs="Arial"/>
                <w:bdr w:val="nil"/>
                <w:lang w:val="de-DE"/>
              </w:rPr>
              <w:t xml:space="preserve">Liebe </w:t>
            </w:r>
            <w:r>
              <w:rPr>
                <w:rFonts w:ascii="Calibri" w:eastAsia="Calibri" w:hAnsi="Calibri" w:cs="Calibri"/>
                <w:bdr w:val="nil"/>
                <w:lang w:val="de-DE"/>
              </w:rPr>
              <w:t>Familien, helfen Sie Ihren Angehörigen bei der Erstellung eines Nutzerkontos auf Medicare.gov, damit sie ihre Angelegenheiten online abwickeln können, oder erinnern Sie sie daran, ihre Quartalsabrechnungen genau zu überprüfen, sobald sie in der Post gelandet sind. #MFPW #MFPWfamily</w:t>
            </w:r>
          </w:p>
          <w:p w14:paraId="69F5B098" w14:textId="77777777" w:rsidR="004C2DC4" w:rsidRPr="007367D9" w:rsidRDefault="004C2DC4" w:rsidP="004C2DC4"/>
        </w:tc>
      </w:tr>
      <w:tr w:rsidR="002E2E65" w14:paraId="7B958D96" w14:textId="77777777" w:rsidTr="00620518">
        <w:trPr>
          <w:trHeight w:val="2132"/>
        </w:trPr>
        <w:tc>
          <w:tcPr>
            <w:tcW w:w="1667" w:type="pct"/>
          </w:tcPr>
          <w:p w14:paraId="2A248B6D" w14:textId="77777777" w:rsidR="00AE765F" w:rsidRPr="007367D9" w:rsidRDefault="000E565E" w:rsidP="004C2DC4">
            <w:r>
              <w:rPr>
                <w:rFonts w:ascii="Calibri" w:eastAsia="Calibri" w:hAnsi="Calibri" w:cs="Calibri"/>
                <w:bdr w:val="nil"/>
                <w:lang w:val="de-DE"/>
              </w:rPr>
              <w:t>Sie können die Telefonnummern Ihrer Angehörigen auch auf die schwarze Liste setzen lassen, damit wir sie nicht anrufen, und auf optoutprescreen.com können Sie sie auch aus unserem Postverteiler nehmen. Dies könnte ein ausgezeichneter Weg sein, um zu verhindern, dass Ihre Eltern betrogen werden. #MFPW #MFPWfamily</w:t>
            </w:r>
          </w:p>
        </w:tc>
        <w:tc>
          <w:tcPr>
            <w:tcW w:w="1667" w:type="pct"/>
          </w:tcPr>
          <w:p w14:paraId="5705A9CA" w14:textId="77777777" w:rsidR="00AE765F" w:rsidRPr="007367D9" w:rsidRDefault="000E565E" w:rsidP="004C2DC4">
            <w:r>
              <w:rPr>
                <w:rFonts w:ascii="Calibri" w:eastAsia="Calibri" w:hAnsi="Calibri" w:cs="Calibri"/>
                <w:bdr w:val="nil"/>
                <w:lang w:val="de-DE"/>
              </w:rPr>
              <w:t>#DYK Sie können die Telefonnummern Ihrer Angehörigen auch auf die „Nicht-Anrufen-Liste“ setzen lassen, und auf optoutprescreen.com können Sie sie aus unserem Postverteiler nehmen. Dies könnte ein ausgezeichneter Weg sein, um zu verhindern, dass Ihre Eltern betrogen werden. #MFPW #MFPWfamily</w:t>
            </w:r>
          </w:p>
        </w:tc>
        <w:tc>
          <w:tcPr>
            <w:tcW w:w="1666" w:type="pct"/>
          </w:tcPr>
          <w:p w14:paraId="0F4F9861" w14:textId="77777777" w:rsidR="00AE765F" w:rsidRPr="007367D9" w:rsidRDefault="000E565E" w:rsidP="004C2DC4">
            <w:r>
              <w:rPr>
                <w:rFonts w:ascii="Calibri" w:eastAsia="Calibri" w:hAnsi="Calibri" w:cs="Calibri"/>
                <w:bdr w:val="nil"/>
                <w:lang w:val="de-DE"/>
              </w:rPr>
              <w:t>Sie können die Telefonnummern Ihrer Angehörigen auch auf die schwarze Liste setzen lassen, damit wir sie nicht anrufen, und auf optoutprescreen.com können Sie sie auch aus unserem Postverteiler nehmen. Dies könnte ein ausgezeichneter Weg sein, um zu verhindern, dass Ihre Eltern betrogen werden. #MFPW #MFPWfamily</w:t>
            </w:r>
          </w:p>
        </w:tc>
      </w:tr>
    </w:tbl>
    <w:p w14:paraId="3365B738" w14:textId="77777777" w:rsidR="00283B91" w:rsidRDefault="000E565E" w:rsidP="00283B91">
      <w:pPr>
        <w:spacing w:after="0"/>
        <w:jc w:val="center"/>
      </w:pPr>
      <w:hyperlink w:anchor="Top" w:history="1">
        <w:r>
          <w:rPr>
            <w:rFonts w:ascii="Calibri" w:eastAsia="Calibri" w:hAnsi="Calibri" w:cs="Calibri"/>
            <w:color w:val="0563C1"/>
            <w:u w:val="single"/>
            <w:bdr w:val="nil"/>
            <w:lang w:val="de-DE"/>
          </w:rPr>
          <w:t>Zum Seitenanfang</w:t>
        </w:r>
      </w:hyperlink>
    </w:p>
    <w:p w14:paraId="60329F68" w14:textId="77777777" w:rsidR="00283B91" w:rsidRDefault="00283B91" w:rsidP="002115B9">
      <w:pPr>
        <w:spacing w:after="0"/>
      </w:pPr>
    </w:p>
    <w:p w14:paraId="0A6E9D94" w14:textId="77777777" w:rsidR="005C28AF" w:rsidRDefault="005C28AF">
      <w:pPr>
        <w:rPr>
          <w:rFonts w:ascii="Franklin Gothic Book" w:eastAsia="Franklin Gothic Book" w:hAnsi="Franklin Gothic Book" w:cs="Franklin Gothic Book"/>
          <w:sz w:val="24"/>
          <w:szCs w:val="24"/>
          <w:bdr w:val="nil"/>
          <w:lang w:val="de-DE"/>
        </w:rPr>
      </w:pPr>
      <w:bookmarkStart w:id="6" w:name="Partners"/>
      <w:r>
        <w:rPr>
          <w:rFonts w:ascii="Franklin Gothic Book" w:eastAsia="Franklin Gothic Book" w:hAnsi="Franklin Gothic Book" w:cs="Franklin Gothic Book"/>
          <w:sz w:val="24"/>
          <w:szCs w:val="24"/>
          <w:bdr w:val="nil"/>
          <w:lang w:val="de-DE"/>
        </w:rPr>
        <w:br w:type="page"/>
      </w:r>
    </w:p>
    <w:p w14:paraId="111A3E3D" w14:textId="47C923C8" w:rsidR="00283B91" w:rsidRPr="00283B91" w:rsidRDefault="000E565E" w:rsidP="00283B91">
      <w:pPr>
        <w:spacing w:after="0"/>
        <w:rPr>
          <w:rFonts w:ascii="Franklin Gothic Book" w:hAnsi="Franklin Gothic Book"/>
          <w:sz w:val="24"/>
          <w:szCs w:val="24"/>
        </w:rPr>
      </w:pPr>
      <w:r>
        <w:rPr>
          <w:rFonts w:ascii="Franklin Gothic Book" w:eastAsia="Franklin Gothic Book" w:hAnsi="Franklin Gothic Book" w:cs="Franklin Gothic Book"/>
          <w:sz w:val="24"/>
          <w:szCs w:val="24"/>
          <w:bdr w:val="nil"/>
          <w:lang w:val="de-DE"/>
        </w:rPr>
        <w:lastRenderedPageBreak/>
        <w:t>Partner und Sachverständige</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2E2E65" w14:paraId="2FD801B4" w14:textId="77777777" w:rsidTr="00732195">
        <w:tc>
          <w:tcPr>
            <w:tcW w:w="1667" w:type="pct"/>
            <w:shd w:val="clear" w:color="auto" w:fill="43B6DB"/>
          </w:tcPr>
          <w:bookmarkEnd w:id="6"/>
          <w:p w14:paraId="36D25B64" w14:textId="77777777" w:rsidR="00732195" w:rsidRPr="00283B91" w:rsidRDefault="000E565E"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de-DE"/>
              </w:rPr>
              <w:t>Facebook</w:t>
            </w:r>
          </w:p>
        </w:tc>
        <w:tc>
          <w:tcPr>
            <w:tcW w:w="1667" w:type="pct"/>
            <w:shd w:val="clear" w:color="auto" w:fill="43B6DB"/>
          </w:tcPr>
          <w:p w14:paraId="3F08CBC4" w14:textId="0919C93E" w:rsidR="00732195" w:rsidRPr="00283B91" w:rsidRDefault="000E565E"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de-DE"/>
              </w:rPr>
              <w:t>Twitter/X</w:t>
            </w:r>
          </w:p>
        </w:tc>
        <w:tc>
          <w:tcPr>
            <w:tcW w:w="1666" w:type="pct"/>
            <w:shd w:val="clear" w:color="auto" w:fill="43B6DB"/>
          </w:tcPr>
          <w:p w14:paraId="4F7E0022" w14:textId="77777777" w:rsidR="00732195" w:rsidRPr="00283B91" w:rsidRDefault="000E565E"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de-DE"/>
              </w:rPr>
              <w:t>LinkedIn</w:t>
            </w:r>
          </w:p>
        </w:tc>
      </w:tr>
      <w:tr w:rsidR="002E2E65" w14:paraId="0D90FD83" w14:textId="77777777" w:rsidTr="00732195">
        <w:tc>
          <w:tcPr>
            <w:tcW w:w="1667" w:type="pct"/>
          </w:tcPr>
          <w:p w14:paraId="0CC618B5" w14:textId="77777777" w:rsidR="00E210C3" w:rsidRPr="007367D9" w:rsidRDefault="000E565E" w:rsidP="00E210C3">
            <w:r>
              <w:rPr>
                <w:rFonts w:ascii="Calibri" w:eastAsia="Calibri" w:hAnsi="Calibri" w:cs="Arial"/>
                <w:bdr w:val="nil"/>
                <w:lang w:val="de-DE"/>
              </w:rPr>
              <w:t xml:space="preserve">Wir laden unsere </w:t>
            </w:r>
            <w:r>
              <w:rPr>
                <w:rFonts w:ascii="Calibri" w:eastAsia="Calibri" w:hAnsi="Calibri" w:cs="Calibri"/>
                <w:bdr w:val="nil"/>
                <w:lang w:val="de-DE"/>
              </w:rPr>
              <w:t xml:space="preserve">Partner und Sachverständigen ein, sich an der Medicare-Woche gegen Betrug zu beteiligen und SMP-Infos auf den sozialen Medien zu teilen, Verbraucher auf die </w:t>
            </w:r>
            <w:r>
              <w:rPr>
                <w:rFonts w:ascii="Calibri" w:eastAsia="Calibri" w:hAnsi="Calibri" w:cs="Calibri"/>
                <w:bdr w:val="nil"/>
                <w:lang w:val="de-DE"/>
              </w:rPr>
              <w:t>SMP aufmerksam zu machen und Vertreter Ihrer SMP zu Vorträgen einzuladen. #MFPW #MFPWPartner</w:t>
            </w:r>
          </w:p>
          <w:p w14:paraId="26AE81B7" w14:textId="77777777" w:rsidR="00732195" w:rsidRPr="007367D9" w:rsidRDefault="00732195" w:rsidP="004F583F"/>
        </w:tc>
        <w:tc>
          <w:tcPr>
            <w:tcW w:w="1667" w:type="pct"/>
          </w:tcPr>
          <w:p w14:paraId="0FB31888" w14:textId="77777777" w:rsidR="00E210C3" w:rsidRPr="007367D9" w:rsidRDefault="000E565E" w:rsidP="00E210C3">
            <w:r>
              <w:rPr>
                <w:rFonts w:ascii="Calibri" w:eastAsia="Calibri" w:hAnsi="Calibri" w:cs="Arial"/>
                <w:bdr w:val="nil"/>
                <w:lang w:val="de-DE"/>
              </w:rPr>
              <w:t xml:space="preserve">Als </w:t>
            </w:r>
            <w:r>
              <w:rPr>
                <w:rFonts w:ascii="Calibri" w:eastAsia="Calibri" w:hAnsi="Calibri" w:cs="Calibri"/>
                <w:bdr w:val="nil"/>
                <w:lang w:val="de-DE"/>
              </w:rPr>
              <w:t>Partner und Sachverständige können auch Sie einen Beitrag zur #MFPW leisten, indem Sie SMP-Infos auf den sozialen Medien teilen, Verbraucher auf die SMP aufmerksam machen oder Vertreter Ihrer SMP zu Vorträgen einladen. #MFPW #MFPWPartner</w:t>
            </w:r>
          </w:p>
          <w:p w14:paraId="64C0E515" w14:textId="77777777" w:rsidR="00732195" w:rsidRPr="007367D9" w:rsidRDefault="00732195" w:rsidP="00997720"/>
        </w:tc>
        <w:tc>
          <w:tcPr>
            <w:tcW w:w="1666" w:type="pct"/>
          </w:tcPr>
          <w:p w14:paraId="57214200" w14:textId="77777777" w:rsidR="00E210C3" w:rsidRPr="007367D9" w:rsidRDefault="000E565E" w:rsidP="00E210C3">
            <w:r>
              <w:rPr>
                <w:rFonts w:ascii="Calibri" w:eastAsia="Calibri" w:hAnsi="Calibri" w:cs="Arial"/>
                <w:bdr w:val="nil"/>
                <w:lang w:val="de-DE"/>
              </w:rPr>
              <w:t xml:space="preserve">Wir laden unsere </w:t>
            </w:r>
            <w:r>
              <w:rPr>
                <w:rFonts w:ascii="Calibri" w:eastAsia="Calibri" w:hAnsi="Calibri" w:cs="Calibri"/>
                <w:bdr w:val="nil"/>
                <w:lang w:val="de-DE"/>
              </w:rPr>
              <w:t>Partner und Sachverständigen ein, sich an der Medicare-Woche gegen Betrug zu beteiligen und SMP-Infos auf den sozialen Medien zu teilen, Verbraucher auf die SMP aufmerksam zu machen und Vertreter Ihrer SMP zu Vorträgen einzuladen. #MFPW #MFPWPartner</w:t>
            </w:r>
          </w:p>
          <w:p w14:paraId="31EDDF01" w14:textId="77777777" w:rsidR="00732195" w:rsidRPr="007367D9" w:rsidRDefault="00732195" w:rsidP="00997720"/>
        </w:tc>
      </w:tr>
      <w:tr w:rsidR="002E2E65" w14:paraId="74C1E81B" w14:textId="77777777" w:rsidTr="00732195">
        <w:tc>
          <w:tcPr>
            <w:tcW w:w="1667" w:type="pct"/>
          </w:tcPr>
          <w:p w14:paraId="0E5A3D65" w14:textId="77777777" w:rsidR="00A51A71" w:rsidRPr="007367D9" w:rsidRDefault="000E565E" w:rsidP="00E210C3">
            <w:r>
              <w:rPr>
                <w:rFonts w:ascii="Calibri" w:eastAsia="Calibri" w:hAnsi="Calibri" w:cs="Calibri"/>
                <w:bdr w:val="nil"/>
                <w:lang w:val="de-DE"/>
              </w:rPr>
              <w:t xml:space="preserve">Suchen Sie eine Partnerschaft? Finden Sie in dieser Medicare-Woche gegen Betrug heraus, wie Ihre Organisation bei missionsrelevanten Themen und </w:t>
            </w:r>
            <w:r>
              <w:rPr>
                <w:rFonts w:ascii="Calibri" w:eastAsia="Calibri" w:hAnsi="Calibri" w:cs="Calibri"/>
                <w:bdr w:val="nil"/>
                <w:lang w:val="de-DE"/>
              </w:rPr>
              <w:t>Informationen mit der SMP zusammenarbeiten kann! #MFPW #MFPWPartner</w:t>
            </w:r>
          </w:p>
        </w:tc>
        <w:tc>
          <w:tcPr>
            <w:tcW w:w="1667" w:type="pct"/>
          </w:tcPr>
          <w:p w14:paraId="36F20503" w14:textId="77777777" w:rsidR="00A51A71" w:rsidRPr="007367D9" w:rsidRDefault="000E565E" w:rsidP="00E210C3">
            <w:r>
              <w:rPr>
                <w:rFonts w:ascii="Calibri" w:eastAsia="Calibri" w:hAnsi="Calibri" w:cs="Calibri"/>
                <w:bdr w:val="nil"/>
                <w:lang w:val="de-DE"/>
              </w:rPr>
              <w:t>Suchen Sie eine #Partnerschaft? Finden Sie in dieser Medicare-Woche gegen Betrug heraus, wie Ihre Organisation bei missionsrelevanten Themen und Informationen mit der SMP zusammenarbeiten kann! #MFPW #MFPWPartner</w:t>
            </w:r>
          </w:p>
        </w:tc>
        <w:tc>
          <w:tcPr>
            <w:tcW w:w="1666" w:type="pct"/>
          </w:tcPr>
          <w:p w14:paraId="7DB71C34" w14:textId="77777777" w:rsidR="00A51A71" w:rsidRPr="007367D9" w:rsidRDefault="000E565E" w:rsidP="00E210C3">
            <w:r>
              <w:rPr>
                <w:rFonts w:ascii="Calibri" w:eastAsia="Calibri" w:hAnsi="Calibri" w:cs="Calibri"/>
                <w:bdr w:val="nil"/>
                <w:lang w:val="de-DE"/>
              </w:rPr>
              <w:t>Suchen Sie eine Partnerschaft? Finden Sie in dieser Medicare-Woche gegen Betrug heraus, wie Ihre Organisation bei missionsrelevanten Themen und Informationen mit der SMP zusammenarbeiten kann! #MFPW #MFPWPartner</w:t>
            </w:r>
          </w:p>
        </w:tc>
      </w:tr>
    </w:tbl>
    <w:p w14:paraId="4DF23F55" w14:textId="77777777" w:rsidR="00C10786" w:rsidRDefault="000E565E" w:rsidP="000C437F">
      <w:pPr>
        <w:spacing w:after="0"/>
        <w:jc w:val="center"/>
      </w:pPr>
      <w:hyperlink w:anchor="Top" w:history="1">
        <w:r>
          <w:rPr>
            <w:rFonts w:ascii="Calibri" w:eastAsia="Calibri" w:hAnsi="Calibri" w:cs="Calibri"/>
            <w:color w:val="0563C1"/>
            <w:u w:val="single"/>
            <w:bdr w:val="nil"/>
            <w:lang w:val="de-DE"/>
          </w:rPr>
          <w:t>Zum Seitenanfang</w:t>
        </w:r>
      </w:hyperlink>
    </w:p>
    <w:p w14:paraId="61746C87" w14:textId="77777777" w:rsidR="00340F34" w:rsidRDefault="00340F34" w:rsidP="00283B91">
      <w:pPr>
        <w:spacing w:after="0"/>
        <w:rPr>
          <w:rFonts w:ascii="Franklin Gothic Book" w:hAnsi="Franklin Gothic Book"/>
          <w:sz w:val="24"/>
          <w:szCs w:val="24"/>
        </w:rPr>
      </w:pPr>
    </w:p>
    <w:p w14:paraId="70042995" w14:textId="77777777" w:rsidR="00283B91" w:rsidRPr="00283B91" w:rsidRDefault="000E565E" w:rsidP="00283B91">
      <w:pPr>
        <w:spacing w:after="0"/>
        <w:rPr>
          <w:rFonts w:ascii="Franklin Gothic Book" w:hAnsi="Franklin Gothic Book"/>
          <w:sz w:val="24"/>
          <w:szCs w:val="24"/>
        </w:rPr>
      </w:pPr>
      <w:bookmarkStart w:id="7" w:name="Community"/>
      <w:r>
        <w:rPr>
          <w:rFonts w:ascii="Franklin Gothic Book" w:eastAsia="Franklin Gothic Book" w:hAnsi="Franklin Gothic Book" w:cs="Franklin Gothic Book"/>
          <w:sz w:val="24"/>
          <w:szCs w:val="24"/>
          <w:bdr w:val="nil"/>
          <w:lang w:val="de-DE"/>
        </w:rPr>
        <w:t>Gesellschaft</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2E2E65" w14:paraId="116C5008" w14:textId="77777777" w:rsidTr="00732195">
        <w:tc>
          <w:tcPr>
            <w:tcW w:w="1667" w:type="pct"/>
            <w:shd w:val="clear" w:color="auto" w:fill="43B6DB"/>
          </w:tcPr>
          <w:bookmarkEnd w:id="7"/>
          <w:p w14:paraId="6ABC3881" w14:textId="77777777" w:rsidR="00732195" w:rsidRPr="00283B91" w:rsidRDefault="000E565E"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de-DE"/>
              </w:rPr>
              <w:t>Facebook</w:t>
            </w:r>
          </w:p>
        </w:tc>
        <w:tc>
          <w:tcPr>
            <w:tcW w:w="1667" w:type="pct"/>
            <w:shd w:val="clear" w:color="auto" w:fill="43B6DB"/>
          </w:tcPr>
          <w:p w14:paraId="51D0A4F9" w14:textId="5A455579" w:rsidR="00732195" w:rsidRPr="00283B91" w:rsidRDefault="000E565E"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de-DE"/>
              </w:rPr>
              <w:t>Twitter/X</w:t>
            </w:r>
          </w:p>
        </w:tc>
        <w:tc>
          <w:tcPr>
            <w:tcW w:w="1666" w:type="pct"/>
            <w:shd w:val="clear" w:color="auto" w:fill="43B6DB"/>
          </w:tcPr>
          <w:p w14:paraId="4C55C4D0" w14:textId="77777777" w:rsidR="00732195" w:rsidRPr="00283B91" w:rsidRDefault="000E565E"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de-DE"/>
              </w:rPr>
              <w:t>LinkedIn</w:t>
            </w:r>
          </w:p>
        </w:tc>
      </w:tr>
      <w:tr w:rsidR="002E2E65" w14:paraId="39EAEAD5" w14:textId="77777777" w:rsidTr="00732195">
        <w:tc>
          <w:tcPr>
            <w:tcW w:w="1667" w:type="pct"/>
            <w:shd w:val="clear" w:color="auto" w:fill="auto"/>
          </w:tcPr>
          <w:p w14:paraId="03470F0A" w14:textId="77777777" w:rsidR="00A51A71" w:rsidRPr="005C28AF" w:rsidRDefault="000E565E" w:rsidP="00355807">
            <w:pPr>
              <w:rPr>
                <w:lang w:val="de-DE"/>
              </w:rPr>
            </w:pPr>
            <w:r>
              <w:rPr>
                <w:rFonts w:ascii="Calibri" w:eastAsia="Calibri" w:hAnsi="Calibri" w:cs="Calibri"/>
                <w:bdr w:val="nil"/>
                <w:lang w:val="de-DE"/>
              </w:rPr>
              <w:t xml:space="preserve">Als Gemeinschaft können wir uns alle an der Medicare-Woche gegen Betrug beteiligen, indem wir uns um unsere älteren Nachbarn und Gemeindemitglieder kümmern. </w:t>
            </w:r>
          </w:p>
          <w:p w14:paraId="581894B9" w14:textId="77777777" w:rsidR="00A51A71" w:rsidRPr="005C28AF" w:rsidRDefault="00A51A71" w:rsidP="00355807">
            <w:pPr>
              <w:rPr>
                <w:lang w:val="de-DE"/>
              </w:rPr>
            </w:pPr>
          </w:p>
          <w:p w14:paraId="420E6FDA" w14:textId="77777777" w:rsidR="00A51A71" w:rsidRPr="005C28AF" w:rsidRDefault="000E565E" w:rsidP="00355807">
            <w:pPr>
              <w:rPr>
                <w:lang w:val="de-DE"/>
              </w:rPr>
            </w:pPr>
            <w:r>
              <w:rPr>
                <w:rFonts w:ascii="Calibri" w:eastAsia="Calibri" w:hAnsi="Calibri" w:cs="Calibri"/>
                <w:bdr w:val="nil"/>
                <w:lang w:val="de-DE"/>
              </w:rPr>
              <w:t>Achten Sie zum Beispiel in der Öffentlichkeit auf ältere Menschen, die Geschenkkarten in großen Mengen kaufen. Wenn Sie etwas bemerken, zögern Sie nicht, Fragen zu stellen oder das Gespräch auf Betrugsversuche mit Geschenkkarten zu lenken. So viele Menschen haben dazu beigetragen, einen Betrug zu verhindern, indem sie sich engagierten und Fragen stellten.</w:t>
            </w:r>
          </w:p>
          <w:p w14:paraId="3EE5C53A" w14:textId="77777777" w:rsidR="00A51A71" w:rsidRPr="005C28AF" w:rsidRDefault="00A51A71" w:rsidP="00355807">
            <w:pPr>
              <w:rPr>
                <w:lang w:val="de-DE"/>
              </w:rPr>
            </w:pPr>
          </w:p>
          <w:p w14:paraId="0FCC2368" w14:textId="77777777" w:rsidR="00355807" w:rsidRDefault="000E565E" w:rsidP="00355807">
            <w:r>
              <w:rPr>
                <w:rFonts w:ascii="Calibri" w:eastAsia="Calibri" w:hAnsi="Calibri" w:cs="Calibri"/>
                <w:bdr w:val="nil"/>
                <w:lang w:val="de-DE"/>
              </w:rPr>
              <w:t>Betrugsversuche können Sie an die @FTC melden. #MFPW #MFPWcommunity</w:t>
            </w:r>
          </w:p>
        </w:tc>
        <w:tc>
          <w:tcPr>
            <w:tcW w:w="1667" w:type="pct"/>
            <w:shd w:val="clear" w:color="auto" w:fill="auto"/>
          </w:tcPr>
          <w:p w14:paraId="2576FE63" w14:textId="77777777" w:rsidR="00355807" w:rsidRPr="005C28AF" w:rsidRDefault="000E565E" w:rsidP="00355807">
            <w:pPr>
              <w:rPr>
                <w:lang w:val="de-DE"/>
              </w:rPr>
            </w:pPr>
            <w:r>
              <w:rPr>
                <w:rFonts w:ascii="Calibri" w:eastAsia="Calibri" w:hAnsi="Calibri" w:cs="Calibri"/>
                <w:bdr w:val="nil"/>
                <w:lang w:val="de-DE"/>
              </w:rPr>
              <w:t>Wir alle können Betrug verhindern, indem wir auf unsere älteren Nachbarn und Gemeindemitglieder achten. Wenn Sie sehen, dass ältere Menschen Geschenkkarten in großen Mengen kaufen, stellen Sie Fragen oder erwähnen Sie Geschenkkartenbetrug. Melden Sie Betrugsversuche dieser Art an die @FTC. #MFPW #MFPWcommunity</w:t>
            </w:r>
          </w:p>
        </w:tc>
        <w:tc>
          <w:tcPr>
            <w:tcW w:w="1666" w:type="pct"/>
          </w:tcPr>
          <w:p w14:paraId="6109D8E1" w14:textId="77777777" w:rsidR="007B0A94" w:rsidRPr="005C28AF" w:rsidRDefault="000E565E" w:rsidP="007B0A94">
            <w:pPr>
              <w:rPr>
                <w:lang w:val="de-DE"/>
              </w:rPr>
            </w:pPr>
            <w:r>
              <w:rPr>
                <w:rFonts w:ascii="Calibri" w:eastAsia="Calibri" w:hAnsi="Calibri" w:cs="Calibri"/>
                <w:bdr w:val="nil"/>
                <w:lang w:val="de-DE"/>
              </w:rPr>
              <w:t xml:space="preserve">Als Gemeinschaft können wir uns alle an der Medicare-Woche gegen Betrug beteiligen, indem wir uns um unsere älteren Nachbarn und Gemeindemitglieder kümmern. </w:t>
            </w:r>
          </w:p>
          <w:p w14:paraId="51D2236D" w14:textId="77777777" w:rsidR="007B0A94" w:rsidRPr="005C28AF" w:rsidRDefault="007B0A94" w:rsidP="007B0A94">
            <w:pPr>
              <w:rPr>
                <w:lang w:val="de-DE"/>
              </w:rPr>
            </w:pPr>
          </w:p>
          <w:p w14:paraId="05A5F7D3" w14:textId="77777777" w:rsidR="007B0A94" w:rsidRPr="005C28AF" w:rsidRDefault="000E565E" w:rsidP="007B0A94">
            <w:pPr>
              <w:rPr>
                <w:lang w:val="de-DE"/>
              </w:rPr>
            </w:pPr>
            <w:r>
              <w:rPr>
                <w:rFonts w:ascii="Calibri" w:eastAsia="Calibri" w:hAnsi="Calibri" w:cs="Calibri"/>
                <w:bdr w:val="nil"/>
                <w:lang w:val="de-DE"/>
              </w:rPr>
              <w:t>Achten Sie zum Beispiel in der Öffentlichkeit auf ältere Menschen, die Geschenkkarten in großen Mengen kaufen. Wenn Sie etwas bemerken, zögern Sie nicht, Fragen zu stellen oder das Gespräch auf Betrugsversuche mit Geschenkkarten zu lenken. So viele Menschen haben dazu beigetragen, einen Betrug zu verhindern, indem sie sich engagierten und Fragen stellten.</w:t>
            </w:r>
          </w:p>
          <w:p w14:paraId="4B210A5B" w14:textId="77777777" w:rsidR="007B0A94" w:rsidRPr="005C28AF" w:rsidRDefault="007B0A94" w:rsidP="007B0A94">
            <w:pPr>
              <w:rPr>
                <w:lang w:val="de-DE"/>
              </w:rPr>
            </w:pPr>
          </w:p>
          <w:p w14:paraId="4D972172" w14:textId="77777777" w:rsidR="00355807" w:rsidRDefault="000E565E" w:rsidP="007B0A94">
            <w:r>
              <w:rPr>
                <w:rFonts w:ascii="Calibri" w:eastAsia="Calibri" w:hAnsi="Calibri" w:cs="Calibri"/>
                <w:bdr w:val="nil"/>
                <w:lang w:val="de-DE"/>
              </w:rPr>
              <w:t>Betrugsversuche können Sie an die @FTC melden. #MFPW #MFPWcommunity</w:t>
            </w:r>
          </w:p>
        </w:tc>
      </w:tr>
      <w:tr w:rsidR="002E2E65" w14:paraId="1AF3A7A9" w14:textId="77777777" w:rsidTr="00732195">
        <w:tc>
          <w:tcPr>
            <w:tcW w:w="1667" w:type="pct"/>
          </w:tcPr>
          <w:p w14:paraId="043FADBF" w14:textId="77777777" w:rsidR="00A51A71" w:rsidRPr="005C28AF" w:rsidRDefault="000E565E" w:rsidP="00355807">
            <w:pPr>
              <w:rPr>
                <w:lang w:val="de-DE"/>
              </w:rPr>
            </w:pPr>
            <w:r>
              <w:rPr>
                <w:rFonts w:ascii="Calibri" w:eastAsia="Calibri" w:hAnsi="Calibri" w:cs="Calibri"/>
                <w:bdr w:val="nil"/>
                <w:lang w:val="de-DE"/>
              </w:rPr>
              <w:lastRenderedPageBreak/>
              <w:t xml:space="preserve">Wie können wir als Gesellschaft helfen, Medicare-Betrug, </w:t>
            </w:r>
            <w:r>
              <w:rPr>
                <w:rFonts w:ascii="Calibri" w:eastAsia="Calibri" w:hAnsi="Calibri" w:cs="Calibri"/>
                <w:bdr w:val="nil"/>
                <w:lang w:val="de-DE"/>
              </w:rPr>
              <w:noBreakHyphen/>
              <w:t xml:space="preserve">Fehler und </w:t>
            </w:r>
            <w:r>
              <w:rPr>
                <w:rFonts w:ascii="Calibri" w:eastAsia="Calibri" w:hAnsi="Calibri" w:cs="Calibri"/>
                <w:bdr w:val="nil"/>
                <w:lang w:val="de-DE"/>
              </w:rPr>
              <w:noBreakHyphen/>
              <w:t xml:space="preserve">Missbrauch zu verhindern? </w:t>
            </w:r>
          </w:p>
          <w:p w14:paraId="19F92CFD" w14:textId="77777777" w:rsidR="00A51A71" w:rsidRPr="005C28AF" w:rsidRDefault="00A51A71" w:rsidP="00355807">
            <w:pPr>
              <w:rPr>
                <w:lang w:val="de-DE"/>
              </w:rPr>
            </w:pPr>
          </w:p>
          <w:p w14:paraId="073FAD05" w14:textId="77777777" w:rsidR="00355807" w:rsidRPr="007367D9" w:rsidRDefault="000E565E" w:rsidP="00355807">
            <w:r>
              <w:rPr>
                <w:rFonts w:ascii="Calibri" w:eastAsia="Calibri" w:hAnsi="Calibri" w:cs="Calibri"/>
                <w:bdr w:val="nil"/>
                <w:lang w:val="de-DE"/>
              </w:rPr>
              <w:t>Sprechen Sie andere, die sich über Medicare unterhalten, ruhig an und reden Sie mit ihnen über SMP und SHIP. Dies sind Regierungsprogramme, die Medicare-Mitgliedern, Familien und Betreuern objektiv und vertrauensvoll zur Seite stehen. #MFPW #MFPWcommunity</w:t>
            </w:r>
          </w:p>
        </w:tc>
        <w:tc>
          <w:tcPr>
            <w:tcW w:w="1667" w:type="pct"/>
          </w:tcPr>
          <w:p w14:paraId="30DD5AC1" w14:textId="77777777" w:rsidR="00355807" w:rsidRPr="007367D9" w:rsidRDefault="000E565E" w:rsidP="00355807">
            <w:r>
              <w:rPr>
                <w:rFonts w:ascii="Calibri" w:eastAsia="Calibri" w:hAnsi="Calibri" w:cs="Calibri"/>
                <w:bdr w:val="nil"/>
                <w:lang w:val="de-DE"/>
              </w:rPr>
              <w:t xml:space="preserve">Wie können wir als Gesellschaft helfen, Medicare-Betrug, </w:t>
            </w:r>
            <w:r>
              <w:rPr>
                <w:rFonts w:ascii="Calibri" w:eastAsia="Calibri" w:hAnsi="Calibri" w:cs="Calibri"/>
                <w:bdr w:val="nil"/>
                <w:lang w:val="de-DE"/>
              </w:rPr>
              <w:noBreakHyphen/>
              <w:t xml:space="preserve">Fehler und </w:t>
            </w:r>
            <w:r>
              <w:rPr>
                <w:rFonts w:ascii="Calibri" w:eastAsia="Calibri" w:hAnsi="Calibri" w:cs="Calibri"/>
                <w:bdr w:val="nil"/>
                <w:lang w:val="de-DE"/>
              </w:rPr>
              <w:noBreakHyphen/>
              <w:t>Missbrauch zu verhindern? Teilen Sie ruhig mit anderen, was Sie über SMP und SHIP wissen. Dies sind Regierungsprogramme, die Medicare-Mitgliedern, Familien und Betreuern objektiv und vertrauensvoll zur Seite stehen. #MFPW #MFPWcommunity</w:t>
            </w:r>
          </w:p>
        </w:tc>
        <w:tc>
          <w:tcPr>
            <w:tcW w:w="1666" w:type="pct"/>
          </w:tcPr>
          <w:p w14:paraId="36EF71F5" w14:textId="77777777" w:rsidR="00355807" w:rsidRPr="007367D9" w:rsidRDefault="000E565E" w:rsidP="00355807">
            <w:r>
              <w:rPr>
                <w:rFonts w:ascii="Calibri" w:eastAsia="Calibri" w:hAnsi="Calibri" w:cs="Calibri"/>
                <w:bdr w:val="nil"/>
                <w:lang w:val="de-DE"/>
              </w:rPr>
              <w:t xml:space="preserve">Wie können wir als Gesellschaft helfen, Medicare-Betrug, </w:t>
            </w:r>
            <w:r>
              <w:rPr>
                <w:rFonts w:ascii="Calibri" w:eastAsia="Calibri" w:hAnsi="Calibri" w:cs="Calibri"/>
                <w:bdr w:val="nil"/>
                <w:lang w:val="de-DE"/>
              </w:rPr>
              <w:noBreakHyphen/>
              <w:t xml:space="preserve">Fehler und </w:t>
            </w:r>
            <w:r>
              <w:rPr>
                <w:rFonts w:ascii="Calibri" w:eastAsia="Calibri" w:hAnsi="Calibri" w:cs="Calibri"/>
                <w:bdr w:val="nil"/>
                <w:lang w:val="de-DE"/>
              </w:rPr>
              <w:noBreakHyphen/>
              <w:t>Missbrauch zu verhindern? Sprechen Sie andere, die sich über Medicare unterhalten, ruhig an und reden Sie mit ihnen über SMP und SHIP. Dies sind Regierungsprogramme, die Medicare-Mitgliedern, Familien und Betreuern objektiv und vertrauensvoll zur Seite stehen. #MFPW #MFPWcommunity</w:t>
            </w:r>
          </w:p>
        </w:tc>
      </w:tr>
      <w:tr w:rsidR="002E2E65" w14:paraId="370DA70F" w14:textId="77777777" w:rsidTr="00732195">
        <w:tc>
          <w:tcPr>
            <w:tcW w:w="1667" w:type="pct"/>
          </w:tcPr>
          <w:p w14:paraId="1073C834" w14:textId="77777777" w:rsidR="008D59D2" w:rsidRPr="005C28AF" w:rsidRDefault="000E565E" w:rsidP="00E210C3">
            <w:pPr>
              <w:rPr>
                <w:lang w:val="de-DE"/>
              </w:rPr>
            </w:pPr>
            <w:r>
              <w:rPr>
                <w:rFonts w:ascii="Calibri" w:eastAsia="Calibri" w:hAnsi="Calibri" w:cs="Calibri"/>
                <w:bdr w:val="nil"/>
                <w:lang w:val="de-DE"/>
              </w:rPr>
              <w:t xml:space="preserve">Als Gesellschaft können wir alle dazu beitragen, Medicare-Betrug, </w:t>
            </w:r>
            <w:r>
              <w:rPr>
                <w:rFonts w:ascii="Calibri" w:eastAsia="Calibri" w:hAnsi="Calibri" w:cs="Calibri"/>
                <w:bdr w:val="nil"/>
                <w:lang w:val="de-DE"/>
              </w:rPr>
              <w:noBreakHyphen/>
              <w:t xml:space="preserve">Fehler und </w:t>
            </w:r>
            <w:r>
              <w:rPr>
                <w:rFonts w:ascii="Calibri" w:eastAsia="Calibri" w:hAnsi="Calibri" w:cs="Calibri"/>
                <w:bdr w:val="nil"/>
                <w:lang w:val="de-DE"/>
              </w:rPr>
              <w:noBreakHyphen/>
              <w:t xml:space="preserve">Missbrauch zu verhindern. </w:t>
            </w:r>
          </w:p>
          <w:p w14:paraId="44D42325" w14:textId="77777777" w:rsidR="008D59D2" w:rsidRPr="005C28AF" w:rsidRDefault="008D59D2" w:rsidP="00E210C3">
            <w:pPr>
              <w:rPr>
                <w:lang w:val="de-DE"/>
              </w:rPr>
            </w:pPr>
          </w:p>
          <w:p w14:paraId="19551B62" w14:textId="77777777" w:rsidR="008D59D2" w:rsidRPr="005C28AF" w:rsidRDefault="000E565E" w:rsidP="008D59D2">
            <w:pPr>
              <w:pStyle w:val="ListParagraph"/>
              <w:numPr>
                <w:ilvl w:val="0"/>
                <w:numId w:val="5"/>
              </w:numPr>
              <w:rPr>
                <w:lang w:val="de-DE"/>
              </w:rPr>
            </w:pPr>
            <w:r>
              <w:rPr>
                <w:rFonts w:ascii="Calibri" w:eastAsia="Calibri" w:hAnsi="Calibri" w:cs="Calibri"/>
                <w:bdr w:val="nil"/>
                <w:lang w:val="de-DE"/>
              </w:rPr>
              <w:t>Ermutigen Sie die Menschen in Ihrem Umfeld, sich mit ihren Medicare-Fragen an vertrauensvolle Partner zu wenden.</w:t>
            </w:r>
          </w:p>
          <w:p w14:paraId="71084961" w14:textId="77777777" w:rsidR="008D59D2" w:rsidRPr="005C28AF" w:rsidRDefault="000E565E" w:rsidP="008D59D2">
            <w:pPr>
              <w:pStyle w:val="ListParagraph"/>
              <w:numPr>
                <w:ilvl w:val="0"/>
                <w:numId w:val="5"/>
              </w:numPr>
              <w:rPr>
                <w:lang w:val="de-DE"/>
              </w:rPr>
            </w:pPr>
            <w:r>
              <w:rPr>
                <w:rFonts w:ascii="Calibri" w:eastAsia="Calibri" w:hAnsi="Calibri" w:cs="Calibri"/>
                <w:bdr w:val="nil"/>
                <w:lang w:val="de-DE"/>
              </w:rPr>
              <w:t xml:space="preserve">Erzählen Sie Ihren Nachbarn ruhig von den neuesten Medicare-Betrugsversuchen. Eine Auflistung bekannter Betrugsmaschen finden Sie auf </w:t>
            </w:r>
            <w:hyperlink r:id="rId14" w:history="1">
              <w:r>
                <w:rPr>
                  <w:rFonts w:ascii="Calibri" w:eastAsia="Calibri" w:hAnsi="Calibri" w:cs="Calibri"/>
                  <w:color w:val="0563C1"/>
                  <w:u w:val="single"/>
                  <w:bdr w:val="nil"/>
                  <w:lang w:val="de-DE"/>
                </w:rPr>
                <w:t>www.smpresource.org</w:t>
              </w:r>
            </w:hyperlink>
            <w:r>
              <w:rPr>
                <w:rFonts w:ascii="Calibri" w:eastAsia="Calibri" w:hAnsi="Calibri" w:cs="Calibri"/>
                <w:bdr w:val="nil"/>
                <w:lang w:val="de-DE"/>
              </w:rPr>
              <w:t>.</w:t>
            </w:r>
          </w:p>
          <w:p w14:paraId="65F3F2B7" w14:textId="77777777" w:rsidR="00E210C3" w:rsidRPr="005C28AF" w:rsidRDefault="000E565E" w:rsidP="008D59D2">
            <w:pPr>
              <w:pStyle w:val="ListParagraph"/>
              <w:numPr>
                <w:ilvl w:val="0"/>
                <w:numId w:val="5"/>
              </w:numPr>
              <w:rPr>
                <w:lang w:val="de-DE"/>
              </w:rPr>
            </w:pPr>
            <w:r>
              <w:rPr>
                <w:rFonts w:ascii="Calibri" w:eastAsia="Calibri" w:hAnsi="Calibri" w:cs="Calibri"/>
                <w:bdr w:val="nil"/>
                <w:lang w:val="de-DE"/>
              </w:rPr>
              <w:t>Vielleicht möchten Sie Ihre örtliche SMP sogar als freiwillige Hilfskraft unterstützen?</w:t>
            </w:r>
          </w:p>
          <w:p w14:paraId="5AB346A6" w14:textId="77777777" w:rsidR="008D59D2" w:rsidRPr="005C28AF" w:rsidRDefault="008D59D2" w:rsidP="008D59D2">
            <w:pPr>
              <w:rPr>
                <w:lang w:val="de-DE"/>
              </w:rPr>
            </w:pPr>
          </w:p>
          <w:p w14:paraId="2AAA24EC" w14:textId="77777777" w:rsidR="008D59D2" w:rsidRPr="005C28AF" w:rsidRDefault="000E565E" w:rsidP="008D59D2">
            <w:pPr>
              <w:rPr>
                <w:lang w:val="de-DE"/>
              </w:rPr>
            </w:pPr>
            <w:r>
              <w:rPr>
                <w:rFonts w:ascii="Calibri" w:eastAsia="Calibri" w:hAnsi="Calibri" w:cs="Calibri"/>
                <w:bdr w:val="nil"/>
                <w:lang w:val="de-DE"/>
              </w:rPr>
              <w:t xml:space="preserve">Jeder von uns kann einen Beitrag leisten und seine Nachbarn und Angehörigen vor Medicare-Betrugsversuchen schützen. </w:t>
            </w:r>
          </w:p>
          <w:p w14:paraId="5C574AAC" w14:textId="77777777" w:rsidR="00E210C3" w:rsidRDefault="000E565E" w:rsidP="004F583F">
            <w:r>
              <w:rPr>
                <w:rFonts w:ascii="Calibri" w:eastAsia="Calibri" w:hAnsi="Calibri" w:cs="Calibri"/>
                <w:bdr w:val="nil"/>
                <w:lang w:val="de-DE"/>
              </w:rPr>
              <w:t>#MFPW #MFPWcommunity</w:t>
            </w:r>
          </w:p>
        </w:tc>
        <w:tc>
          <w:tcPr>
            <w:tcW w:w="1667" w:type="pct"/>
          </w:tcPr>
          <w:p w14:paraId="1BD899A1" w14:textId="77777777" w:rsidR="00E210C3" w:rsidRDefault="000E565E" w:rsidP="004F583F">
            <w:r>
              <w:rPr>
                <w:rFonts w:ascii="Calibri" w:eastAsia="Calibri" w:hAnsi="Calibri" w:cs="Arial"/>
                <w:bdr w:val="nil"/>
                <w:lang w:val="de-DE"/>
              </w:rPr>
              <w:t xml:space="preserve">Als </w:t>
            </w:r>
            <w:r>
              <w:rPr>
                <w:rFonts w:ascii="Calibri" w:eastAsia="Calibri" w:hAnsi="Calibri" w:cs="Calibri"/>
                <w:bdr w:val="nil"/>
                <w:lang w:val="de-DE"/>
              </w:rPr>
              <w:t xml:space="preserve">Gesellschaft tragen wir alle Verantwortung dafür, Medicare-Betrug, </w:t>
            </w:r>
            <w:r>
              <w:rPr>
                <w:rFonts w:ascii="Calibri" w:eastAsia="Calibri" w:hAnsi="Calibri" w:cs="Calibri"/>
                <w:bdr w:val="nil"/>
                <w:lang w:val="de-DE"/>
              </w:rPr>
              <w:noBreakHyphen/>
              <w:t xml:space="preserve">Fehler und </w:t>
            </w:r>
            <w:r>
              <w:rPr>
                <w:rFonts w:ascii="Calibri" w:eastAsia="Calibri" w:hAnsi="Calibri" w:cs="Calibri"/>
                <w:bdr w:val="nil"/>
                <w:lang w:val="de-DE"/>
              </w:rPr>
              <w:noBreakHyphen/>
              <w:t>Missbrauch zu verhindern. Jeder von uns kann einen Beitrag leisten und seine Nachbarn und Angehörigen vor Medicare-Betrugsversuchen schützen. Vielleicht möchten Sie Ihre örtliche SMP sogar als freiwillige Hilfskraft unterstützen? #MFPW #MFPWcommunity</w:t>
            </w:r>
          </w:p>
        </w:tc>
        <w:tc>
          <w:tcPr>
            <w:tcW w:w="1666" w:type="pct"/>
          </w:tcPr>
          <w:p w14:paraId="5F8A739A" w14:textId="77777777" w:rsidR="00355807" w:rsidRPr="005C28AF" w:rsidRDefault="000E565E" w:rsidP="00355807">
            <w:pPr>
              <w:rPr>
                <w:lang w:val="de-DE"/>
              </w:rPr>
            </w:pPr>
            <w:r>
              <w:rPr>
                <w:rFonts w:ascii="Calibri" w:eastAsia="Calibri" w:hAnsi="Calibri" w:cs="Calibri"/>
                <w:bdr w:val="nil"/>
                <w:lang w:val="de-DE"/>
              </w:rPr>
              <w:t xml:space="preserve">Als Gesellschaft können wir alle dazu beitragen, Medicare-Betrug, </w:t>
            </w:r>
            <w:r>
              <w:rPr>
                <w:rFonts w:ascii="Calibri" w:eastAsia="Calibri" w:hAnsi="Calibri" w:cs="Calibri"/>
                <w:bdr w:val="nil"/>
                <w:lang w:val="de-DE"/>
              </w:rPr>
              <w:noBreakHyphen/>
              <w:t xml:space="preserve">Fehler und </w:t>
            </w:r>
            <w:r>
              <w:rPr>
                <w:rFonts w:ascii="Calibri" w:eastAsia="Calibri" w:hAnsi="Calibri" w:cs="Calibri"/>
                <w:bdr w:val="nil"/>
                <w:lang w:val="de-DE"/>
              </w:rPr>
              <w:noBreakHyphen/>
              <w:t xml:space="preserve">Missbrauch zu verhindern. </w:t>
            </w:r>
          </w:p>
          <w:p w14:paraId="5D81CB09" w14:textId="77777777" w:rsidR="00355807" w:rsidRPr="005C28AF" w:rsidRDefault="00355807" w:rsidP="00355807">
            <w:pPr>
              <w:rPr>
                <w:lang w:val="de-DE"/>
              </w:rPr>
            </w:pPr>
          </w:p>
          <w:p w14:paraId="57570E48" w14:textId="77777777" w:rsidR="00355807" w:rsidRPr="005C28AF" w:rsidRDefault="000E565E" w:rsidP="00355807">
            <w:pPr>
              <w:pStyle w:val="ListParagraph"/>
              <w:numPr>
                <w:ilvl w:val="0"/>
                <w:numId w:val="5"/>
              </w:numPr>
              <w:rPr>
                <w:lang w:val="de-DE"/>
              </w:rPr>
            </w:pPr>
            <w:r>
              <w:rPr>
                <w:rFonts w:ascii="Calibri" w:eastAsia="Calibri" w:hAnsi="Calibri" w:cs="Calibri"/>
                <w:bdr w:val="nil"/>
                <w:lang w:val="de-DE"/>
              </w:rPr>
              <w:t>Ermutigen Sie die Menschen in Ihrem Umfeld, sich mit ihren Medicare-Fragen an vertrauensvolle Partner zu wenden.</w:t>
            </w:r>
          </w:p>
          <w:p w14:paraId="41CBBD38" w14:textId="77777777" w:rsidR="00355807" w:rsidRPr="005C28AF" w:rsidRDefault="000E565E" w:rsidP="00355807">
            <w:pPr>
              <w:pStyle w:val="ListParagraph"/>
              <w:numPr>
                <w:ilvl w:val="0"/>
                <w:numId w:val="5"/>
              </w:numPr>
              <w:rPr>
                <w:lang w:val="de-DE"/>
              </w:rPr>
            </w:pPr>
            <w:r>
              <w:rPr>
                <w:rFonts w:ascii="Calibri" w:eastAsia="Calibri" w:hAnsi="Calibri" w:cs="Calibri"/>
                <w:bdr w:val="nil"/>
                <w:lang w:val="de-DE"/>
              </w:rPr>
              <w:t xml:space="preserve">Erzählen Sie Ihren Nachbarn ruhig von den neuesten Medicare-Betrugsversuchen. Eine Auflistung bekannter Betrugsmaschen finden Sie auf </w:t>
            </w:r>
            <w:hyperlink r:id="rId15" w:history="1">
              <w:r>
                <w:rPr>
                  <w:rFonts w:ascii="Calibri" w:eastAsia="Calibri" w:hAnsi="Calibri" w:cs="Calibri"/>
                  <w:color w:val="0563C1"/>
                  <w:u w:val="single"/>
                  <w:bdr w:val="nil"/>
                  <w:lang w:val="de-DE"/>
                </w:rPr>
                <w:t>www.smpresource.org</w:t>
              </w:r>
            </w:hyperlink>
            <w:r>
              <w:rPr>
                <w:rFonts w:ascii="Calibri" w:eastAsia="Calibri" w:hAnsi="Calibri" w:cs="Calibri"/>
                <w:bdr w:val="nil"/>
                <w:lang w:val="de-DE"/>
              </w:rPr>
              <w:t>.</w:t>
            </w:r>
          </w:p>
          <w:p w14:paraId="4026D7BF" w14:textId="77777777" w:rsidR="00355807" w:rsidRPr="005C28AF" w:rsidRDefault="000E565E" w:rsidP="00355807">
            <w:pPr>
              <w:pStyle w:val="ListParagraph"/>
              <w:numPr>
                <w:ilvl w:val="0"/>
                <w:numId w:val="5"/>
              </w:numPr>
              <w:rPr>
                <w:lang w:val="de-DE"/>
              </w:rPr>
            </w:pPr>
            <w:r>
              <w:rPr>
                <w:rFonts w:ascii="Calibri" w:eastAsia="Calibri" w:hAnsi="Calibri" w:cs="Calibri"/>
                <w:bdr w:val="nil"/>
                <w:lang w:val="de-DE"/>
              </w:rPr>
              <w:t>Vielleicht möchten Sie Ihre örtliche SMP sogar als freiwillige Hilfskraft unterstützen?</w:t>
            </w:r>
          </w:p>
          <w:p w14:paraId="2D2FA263" w14:textId="77777777" w:rsidR="00355807" w:rsidRPr="005C28AF" w:rsidRDefault="00355807" w:rsidP="00355807">
            <w:pPr>
              <w:rPr>
                <w:lang w:val="de-DE"/>
              </w:rPr>
            </w:pPr>
          </w:p>
          <w:p w14:paraId="17758E4D" w14:textId="77777777" w:rsidR="00355807" w:rsidRPr="005C28AF" w:rsidRDefault="000E565E" w:rsidP="00355807">
            <w:pPr>
              <w:rPr>
                <w:lang w:val="de-DE"/>
              </w:rPr>
            </w:pPr>
            <w:r>
              <w:rPr>
                <w:rFonts w:ascii="Calibri" w:eastAsia="Calibri" w:hAnsi="Calibri" w:cs="Calibri"/>
                <w:bdr w:val="nil"/>
                <w:lang w:val="de-DE"/>
              </w:rPr>
              <w:t xml:space="preserve">Jeder von uns kann einen Beitrag leisten und seine Nachbarn und Angehörigen vor Medicare-Betrugsversuchen schützen. </w:t>
            </w:r>
          </w:p>
          <w:p w14:paraId="13E0EDC0" w14:textId="77777777" w:rsidR="00E210C3" w:rsidRDefault="000E565E" w:rsidP="004F583F">
            <w:r>
              <w:rPr>
                <w:rFonts w:ascii="Calibri" w:eastAsia="Calibri" w:hAnsi="Calibri" w:cs="Calibri"/>
                <w:bdr w:val="nil"/>
                <w:lang w:val="de-DE"/>
              </w:rPr>
              <w:t>#MFPW #MFPWcommunity</w:t>
            </w:r>
          </w:p>
        </w:tc>
      </w:tr>
    </w:tbl>
    <w:p w14:paraId="21CEA8CB" w14:textId="77777777" w:rsidR="00283B91" w:rsidRDefault="000E565E" w:rsidP="00283B91">
      <w:pPr>
        <w:spacing w:after="0"/>
        <w:jc w:val="center"/>
      </w:pPr>
      <w:hyperlink w:anchor="Top" w:history="1">
        <w:r>
          <w:rPr>
            <w:rFonts w:ascii="Calibri" w:eastAsia="Calibri" w:hAnsi="Calibri" w:cs="Calibri"/>
            <w:color w:val="0563C1"/>
            <w:u w:val="single"/>
            <w:bdr w:val="nil"/>
            <w:lang w:val="de-DE"/>
          </w:rPr>
          <w:t>Zum Seitenanfang</w:t>
        </w:r>
      </w:hyperlink>
    </w:p>
    <w:p w14:paraId="102E2C05" w14:textId="77777777" w:rsidR="00283B91" w:rsidRDefault="00283B91" w:rsidP="002115B9">
      <w:pPr>
        <w:spacing w:after="0"/>
      </w:pPr>
    </w:p>
    <w:p w14:paraId="565B7F1A" w14:textId="77777777" w:rsidR="00283B91" w:rsidRDefault="00283B91" w:rsidP="002115B9">
      <w:pPr>
        <w:spacing w:after="0"/>
      </w:pPr>
    </w:p>
    <w:sectPr w:rsidR="00283B91" w:rsidSect="002115B9">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FFC7" w14:textId="77777777" w:rsidR="00614A0D" w:rsidRDefault="00614A0D">
      <w:pPr>
        <w:spacing w:after="0" w:line="240" w:lineRule="auto"/>
      </w:pPr>
      <w:r>
        <w:separator/>
      </w:r>
    </w:p>
  </w:endnote>
  <w:endnote w:type="continuationSeparator" w:id="0">
    <w:p w14:paraId="3ECFA436" w14:textId="77777777" w:rsidR="00614A0D" w:rsidRDefault="0061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72072"/>
      <w:docPartObj>
        <w:docPartGallery w:val="Page Numbers (Bottom of Page)"/>
        <w:docPartUnique/>
      </w:docPartObj>
    </w:sdtPr>
    <w:sdtEndPr/>
    <w:sdtContent>
      <w:sdt>
        <w:sdtPr>
          <w:id w:val="1728636285"/>
          <w:docPartObj>
            <w:docPartGallery w:val="Page Numbers (Top of Page)"/>
            <w:docPartUnique/>
          </w:docPartObj>
        </w:sdtPr>
        <w:sdtEndPr/>
        <w:sdtContent>
          <w:p w14:paraId="44B72B2C" w14:textId="77777777" w:rsidR="003C418A" w:rsidRDefault="003C418A" w:rsidP="002115B9">
            <w:pPr>
              <w:pStyle w:val="Footer"/>
              <w:pBdr>
                <w:bottom w:val="single" w:sz="6" w:space="1" w:color="auto"/>
              </w:pBdr>
              <w:jc w:val="center"/>
            </w:pPr>
          </w:p>
          <w:p w14:paraId="42001445" w14:textId="77777777" w:rsidR="003C418A" w:rsidRDefault="003C418A" w:rsidP="002115B9">
            <w:pPr>
              <w:pStyle w:val="Footer"/>
              <w:jc w:val="center"/>
            </w:pPr>
          </w:p>
          <w:p w14:paraId="18167A61" w14:textId="77777777" w:rsidR="003C418A" w:rsidRDefault="000E565E" w:rsidP="002115B9">
            <w:pPr>
              <w:pStyle w:val="Footer"/>
              <w:jc w:val="center"/>
            </w:pPr>
            <w:r>
              <w:rPr>
                <w:rFonts w:ascii="Calibri" w:eastAsia="Calibri" w:hAnsi="Calibri" w:cs="Calibri"/>
                <w:bdr w:val="nil"/>
                <w:lang w:val="de-DE"/>
              </w:rPr>
              <w:t xml:space="preserve">Seite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rPr>
                <w:rFonts w:ascii="Calibri" w:eastAsia="Calibri" w:hAnsi="Calibri" w:cs="Calibri"/>
                <w:bdr w:val="nil"/>
                <w:lang w:val="de-DE"/>
              </w:rPr>
              <w:t xml:space="preserve"> von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059D" w14:textId="77777777" w:rsidR="00614A0D" w:rsidRDefault="00614A0D">
      <w:pPr>
        <w:spacing w:after="0" w:line="240" w:lineRule="auto"/>
      </w:pPr>
      <w:r>
        <w:separator/>
      </w:r>
    </w:p>
  </w:footnote>
  <w:footnote w:type="continuationSeparator" w:id="0">
    <w:p w14:paraId="29CC8C3E" w14:textId="77777777" w:rsidR="00614A0D" w:rsidRDefault="00614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7B4B" w14:textId="77777777" w:rsidR="003C418A" w:rsidRPr="002115B9" w:rsidRDefault="000E565E" w:rsidP="002115B9">
    <w:pPr>
      <w:pStyle w:val="Header"/>
      <w:rPr>
        <w:rFonts w:ascii="Franklin Gothic Book" w:hAnsi="Franklin Gothic Book"/>
        <w:color w:val="092441"/>
        <w:sz w:val="36"/>
        <w:szCs w:val="36"/>
      </w:rPr>
    </w:pPr>
    <w:r w:rsidRPr="002115B9">
      <w:rPr>
        <w:rFonts w:ascii="Franklin Gothic Book" w:hAnsi="Franklin Gothic Book"/>
        <w:noProof/>
        <w:color w:val="092441"/>
        <w:sz w:val="36"/>
        <w:szCs w:val="36"/>
      </w:rPr>
      <w:drawing>
        <wp:anchor distT="0" distB="0" distL="114300" distR="114300" simplePos="0" relativeHeight="251658240" behindDoc="0" locked="0" layoutInCell="1" allowOverlap="1" wp14:anchorId="05EDA2F0" wp14:editId="0890820B">
          <wp:simplePos x="0" y="0"/>
          <wp:positionH relativeFrom="margin">
            <wp:posOffset>4616450</wp:posOffset>
          </wp:positionH>
          <wp:positionV relativeFrom="paragraph">
            <wp:posOffset>0</wp:posOffset>
          </wp:positionV>
          <wp:extent cx="2082165" cy="711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43125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2165" cy="711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ranklin Gothic Book" w:eastAsia="Franklin Gothic Book" w:hAnsi="Franklin Gothic Book" w:cs="Franklin Gothic Book"/>
        <w:color w:val="092441"/>
        <w:sz w:val="36"/>
        <w:szCs w:val="36"/>
        <w:bdr w:val="nil"/>
        <w:lang w:val="de-DE"/>
      </w:rPr>
      <w:t>Medicare-Woche gegen Betrug:</w:t>
    </w:r>
  </w:p>
  <w:p w14:paraId="079CAEDC" w14:textId="77777777" w:rsidR="003C418A" w:rsidRPr="002115B9" w:rsidRDefault="000E565E" w:rsidP="002115B9">
    <w:pPr>
      <w:pStyle w:val="Header"/>
      <w:rPr>
        <w:rFonts w:ascii="Franklin Gothic Book" w:hAnsi="Franklin Gothic Book"/>
        <w:color w:val="092441"/>
        <w:sz w:val="36"/>
        <w:szCs w:val="36"/>
      </w:rPr>
    </w:pPr>
    <w:proofErr w:type="spellStart"/>
    <w:r>
      <w:rPr>
        <w:rFonts w:ascii="Franklin Gothic Book" w:eastAsia="Franklin Gothic Book" w:hAnsi="Franklin Gothic Book" w:cs="Franklin Gothic Book"/>
        <w:color w:val="092441"/>
        <w:sz w:val="36"/>
        <w:szCs w:val="36"/>
        <w:bdr w:val="nil"/>
        <w:lang w:val="de-DE"/>
      </w:rPr>
      <w:t>Social</w:t>
    </w:r>
    <w:proofErr w:type="spellEnd"/>
    <w:r>
      <w:rPr>
        <w:rFonts w:ascii="Franklin Gothic Book" w:eastAsia="Franklin Gothic Book" w:hAnsi="Franklin Gothic Book" w:cs="Franklin Gothic Book"/>
        <w:color w:val="092441"/>
        <w:sz w:val="36"/>
        <w:szCs w:val="36"/>
        <w:bdr w:val="nil"/>
        <w:lang w:val="de-DE"/>
      </w:rPr>
      <w:t>-Media-Toolkit</w:t>
    </w:r>
  </w:p>
  <w:p w14:paraId="20ECF3C2" w14:textId="77777777" w:rsidR="003C418A" w:rsidRPr="002115B9" w:rsidRDefault="003C418A" w:rsidP="002115B9">
    <w:pPr>
      <w:pStyle w:val="Header"/>
      <w:rPr>
        <w:color w:val="092441"/>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AC2"/>
    <w:multiLevelType w:val="hybridMultilevel"/>
    <w:tmpl w:val="490EEEFE"/>
    <w:lvl w:ilvl="0" w:tplc="07803AD4">
      <w:start w:val="1"/>
      <w:numFmt w:val="decimal"/>
      <w:lvlText w:val="%1."/>
      <w:lvlJc w:val="left"/>
      <w:pPr>
        <w:ind w:left="720" w:hanging="360"/>
      </w:pPr>
      <w:rPr>
        <w:rFonts w:hint="default"/>
      </w:rPr>
    </w:lvl>
    <w:lvl w:ilvl="1" w:tplc="5E72CB9A" w:tentative="1">
      <w:start w:val="1"/>
      <w:numFmt w:val="lowerLetter"/>
      <w:lvlText w:val="%2."/>
      <w:lvlJc w:val="left"/>
      <w:pPr>
        <w:ind w:left="1440" w:hanging="360"/>
      </w:pPr>
    </w:lvl>
    <w:lvl w:ilvl="2" w:tplc="83CA6AAE" w:tentative="1">
      <w:start w:val="1"/>
      <w:numFmt w:val="lowerRoman"/>
      <w:lvlText w:val="%3."/>
      <w:lvlJc w:val="right"/>
      <w:pPr>
        <w:ind w:left="2160" w:hanging="180"/>
      </w:pPr>
    </w:lvl>
    <w:lvl w:ilvl="3" w:tplc="0FB2942A" w:tentative="1">
      <w:start w:val="1"/>
      <w:numFmt w:val="decimal"/>
      <w:lvlText w:val="%4."/>
      <w:lvlJc w:val="left"/>
      <w:pPr>
        <w:ind w:left="2880" w:hanging="360"/>
      </w:pPr>
    </w:lvl>
    <w:lvl w:ilvl="4" w:tplc="7AD6F0EE" w:tentative="1">
      <w:start w:val="1"/>
      <w:numFmt w:val="lowerLetter"/>
      <w:lvlText w:val="%5."/>
      <w:lvlJc w:val="left"/>
      <w:pPr>
        <w:ind w:left="3600" w:hanging="360"/>
      </w:pPr>
    </w:lvl>
    <w:lvl w:ilvl="5" w:tplc="643E25FE" w:tentative="1">
      <w:start w:val="1"/>
      <w:numFmt w:val="lowerRoman"/>
      <w:lvlText w:val="%6."/>
      <w:lvlJc w:val="right"/>
      <w:pPr>
        <w:ind w:left="4320" w:hanging="180"/>
      </w:pPr>
    </w:lvl>
    <w:lvl w:ilvl="6" w:tplc="CC4054E8" w:tentative="1">
      <w:start w:val="1"/>
      <w:numFmt w:val="decimal"/>
      <w:lvlText w:val="%7."/>
      <w:lvlJc w:val="left"/>
      <w:pPr>
        <w:ind w:left="5040" w:hanging="360"/>
      </w:pPr>
    </w:lvl>
    <w:lvl w:ilvl="7" w:tplc="A194441A" w:tentative="1">
      <w:start w:val="1"/>
      <w:numFmt w:val="lowerLetter"/>
      <w:lvlText w:val="%8."/>
      <w:lvlJc w:val="left"/>
      <w:pPr>
        <w:ind w:left="5760" w:hanging="360"/>
      </w:pPr>
    </w:lvl>
    <w:lvl w:ilvl="8" w:tplc="01268A4A" w:tentative="1">
      <w:start w:val="1"/>
      <w:numFmt w:val="lowerRoman"/>
      <w:lvlText w:val="%9."/>
      <w:lvlJc w:val="right"/>
      <w:pPr>
        <w:ind w:left="6480" w:hanging="180"/>
      </w:pPr>
    </w:lvl>
  </w:abstractNum>
  <w:abstractNum w:abstractNumId="1" w15:restartNumberingAfterBreak="0">
    <w:nsid w:val="123E17EC"/>
    <w:multiLevelType w:val="hybridMultilevel"/>
    <w:tmpl w:val="C41E558C"/>
    <w:lvl w:ilvl="0" w:tplc="CC80DA70">
      <w:start w:val="1"/>
      <w:numFmt w:val="bullet"/>
      <w:lvlText w:val=""/>
      <w:lvlJc w:val="left"/>
      <w:pPr>
        <w:ind w:left="720" w:hanging="360"/>
      </w:pPr>
      <w:rPr>
        <w:rFonts w:ascii="Symbol" w:hAnsi="Symbol" w:hint="default"/>
      </w:rPr>
    </w:lvl>
    <w:lvl w:ilvl="1" w:tplc="A7A0558A" w:tentative="1">
      <w:start w:val="1"/>
      <w:numFmt w:val="bullet"/>
      <w:lvlText w:val="o"/>
      <w:lvlJc w:val="left"/>
      <w:pPr>
        <w:ind w:left="1440" w:hanging="360"/>
      </w:pPr>
      <w:rPr>
        <w:rFonts w:ascii="Courier New" w:hAnsi="Courier New" w:cs="Courier New" w:hint="default"/>
      </w:rPr>
    </w:lvl>
    <w:lvl w:ilvl="2" w:tplc="FE860EB4" w:tentative="1">
      <w:start w:val="1"/>
      <w:numFmt w:val="bullet"/>
      <w:lvlText w:val=""/>
      <w:lvlJc w:val="left"/>
      <w:pPr>
        <w:ind w:left="2160" w:hanging="360"/>
      </w:pPr>
      <w:rPr>
        <w:rFonts w:ascii="Wingdings" w:hAnsi="Wingdings" w:hint="default"/>
      </w:rPr>
    </w:lvl>
    <w:lvl w:ilvl="3" w:tplc="536A890E" w:tentative="1">
      <w:start w:val="1"/>
      <w:numFmt w:val="bullet"/>
      <w:lvlText w:val=""/>
      <w:lvlJc w:val="left"/>
      <w:pPr>
        <w:ind w:left="2880" w:hanging="360"/>
      </w:pPr>
      <w:rPr>
        <w:rFonts w:ascii="Symbol" w:hAnsi="Symbol" w:hint="default"/>
      </w:rPr>
    </w:lvl>
    <w:lvl w:ilvl="4" w:tplc="5FE68CEA" w:tentative="1">
      <w:start w:val="1"/>
      <w:numFmt w:val="bullet"/>
      <w:lvlText w:val="o"/>
      <w:lvlJc w:val="left"/>
      <w:pPr>
        <w:ind w:left="3600" w:hanging="360"/>
      </w:pPr>
      <w:rPr>
        <w:rFonts w:ascii="Courier New" w:hAnsi="Courier New" w:cs="Courier New" w:hint="default"/>
      </w:rPr>
    </w:lvl>
    <w:lvl w:ilvl="5" w:tplc="8FCC0904" w:tentative="1">
      <w:start w:val="1"/>
      <w:numFmt w:val="bullet"/>
      <w:lvlText w:val=""/>
      <w:lvlJc w:val="left"/>
      <w:pPr>
        <w:ind w:left="4320" w:hanging="360"/>
      </w:pPr>
      <w:rPr>
        <w:rFonts w:ascii="Wingdings" w:hAnsi="Wingdings" w:hint="default"/>
      </w:rPr>
    </w:lvl>
    <w:lvl w:ilvl="6" w:tplc="199A6D62" w:tentative="1">
      <w:start w:val="1"/>
      <w:numFmt w:val="bullet"/>
      <w:lvlText w:val=""/>
      <w:lvlJc w:val="left"/>
      <w:pPr>
        <w:ind w:left="5040" w:hanging="360"/>
      </w:pPr>
      <w:rPr>
        <w:rFonts w:ascii="Symbol" w:hAnsi="Symbol" w:hint="default"/>
      </w:rPr>
    </w:lvl>
    <w:lvl w:ilvl="7" w:tplc="E2383E5C" w:tentative="1">
      <w:start w:val="1"/>
      <w:numFmt w:val="bullet"/>
      <w:lvlText w:val="o"/>
      <w:lvlJc w:val="left"/>
      <w:pPr>
        <w:ind w:left="5760" w:hanging="360"/>
      </w:pPr>
      <w:rPr>
        <w:rFonts w:ascii="Courier New" w:hAnsi="Courier New" w:cs="Courier New" w:hint="default"/>
      </w:rPr>
    </w:lvl>
    <w:lvl w:ilvl="8" w:tplc="AE56A1C4" w:tentative="1">
      <w:start w:val="1"/>
      <w:numFmt w:val="bullet"/>
      <w:lvlText w:val=""/>
      <w:lvlJc w:val="left"/>
      <w:pPr>
        <w:ind w:left="6480" w:hanging="360"/>
      </w:pPr>
      <w:rPr>
        <w:rFonts w:ascii="Wingdings" w:hAnsi="Wingdings" w:hint="default"/>
      </w:rPr>
    </w:lvl>
  </w:abstractNum>
  <w:abstractNum w:abstractNumId="2" w15:restartNumberingAfterBreak="0">
    <w:nsid w:val="1B76357A"/>
    <w:multiLevelType w:val="multilevel"/>
    <w:tmpl w:val="A328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715C9"/>
    <w:multiLevelType w:val="hybridMultilevel"/>
    <w:tmpl w:val="D5E8B4B4"/>
    <w:lvl w:ilvl="0" w:tplc="0D56E37A">
      <w:start w:val="1"/>
      <w:numFmt w:val="bullet"/>
      <w:lvlText w:val=""/>
      <w:lvlJc w:val="left"/>
      <w:pPr>
        <w:ind w:left="720" w:hanging="360"/>
      </w:pPr>
      <w:rPr>
        <w:rFonts w:ascii="Symbol" w:hAnsi="Symbol" w:hint="default"/>
      </w:rPr>
    </w:lvl>
    <w:lvl w:ilvl="1" w:tplc="58400AEC" w:tentative="1">
      <w:start w:val="1"/>
      <w:numFmt w:val="bullet"/>
      <w:lvlText w:val="o"/>
      <w:lvlJc w:val="left"/>
      <w:pPr>
        <w:ind w:left="1440" w:hanging="360"/>
      </w:pPr>
      <w:rPr>
        <w:rFonts w:ascii="Courier New" w:hAnsi="Courier New" w:cs="Courier New" w:hint="default"/>
      </w:rPr>
    </w:lvl>
    <w:lvl w:ilvl="2" w:tplc="7F463450" w:tentative="1">
      <w:start w:val="1"/>
      <w:numFmt w:val="bullet"/>
      <w:lvlText w:val=""/>
      <w:lvlJc w:val="left"/>
      <w:pPr>
        <w:ind w:left="2160" w:hanging="360"/>
      </w:pPr>
      <w:rPr>
        <w:rFonts w:ascii="Wingdings" w:hAnsi="Wingdings" w:hint="default"/>
      </w:rPr>
    </w:lvl>
    <w:lvl w:ilvl="3" w:tplc="659461AA" w:tentative="1">
      <w:start w:val="1"/>
      <w:numFmt w:val="bullet"/>
      <w:lvlText w:val=""/>
      <w:lvlJc w:val="left"/>
      <w:pPr>
        <w:ind w:left="2880" w:hanging="360"/>
      </w:pPr>
      <w:rPr>
        <w:rFonts w:ascii="Symbol" w:hAnsi="Symbol" w:hint="default"/>
      </w:rPr>
    </w:lvl>
    <w:lvl w:ilvl="4" w:tplc="22323E86" w:tentative="1">
      <w:start w:val="1"/>
      <w:numFmt w:val="bullet"/>
      <w:lvlText w:val="o"/>
      <w:lvlJc w:val="left"/>
      <w:pPr>
        <w:ind w:left="3600" w:hanging="360"/>
      </w:pPr>
      <w:rPr>
        <w:rFonts w:ascii="Courier New" w:hAnsi="Courier New" w:cs="Courier New" w:hint="default"/>
      </w:rPr>
    </w:lvl>
    <w:lvl w:ilvl="5" w:tplc="F99A431C" w:tentative="1">
      <w:start w:val="1"/>
      <w:numFmt w:val="bullet"/>
      <w:lvlText w:val=""/>
      <w:lvlJc w:val="left"/>
      <w:pPr>
        <w:ind w:left="4320" w:hanging="360"/>
      </w:pPr>
      <w:rPr>
        <w:rFonts w:ascii="Wingdings" w:hAnsi="Wingdings" w:hint="default"/>
      </w:rPr>
    </w:lvl>
    <w:lvl w:ilvl="6" w:tplc="E1229B6A" w:tentative="1">
      <w:start w:val="1"/>
      <w:numFmt w:val="bullet"/>
      <w:lvlText w:val=""/>
      <w:lvlJc w:val="left"/>
      <w:pPr>
        <w:ind w:left="5040" w:hanging="360"/>
      </w:pPr>
      <w:rPr>
        <w:rFonts w:ascii="Symbol" w:hAnsi="Symbol" w:hint="default"/>
      </w:rPr>
    </w:lvl>
    <w:lvl w:ilvl="7" w:tplc="9A4A867C" w:tentative="1">
      <w:start w:val="1"/>
      <w:numFmt w:val="bullet"/>
      <w:lvlText w:val="o"/>
      <w:lvlJc w:val="left"/>
      <w:pPr>
        <w:ind w:left="5760" w:hanging="360"/>
      </w:pPr>
      <w:rPr>
        <w:rFonts w:ascii="Courier New" w:hAnsi="Courier New" w:cs="Courier New" w:hint="default"/>
      </w:rPr>
    </w:lvl>
    <w:lvl w:ilvl="8" w:tplc="C3C4F28E" w:tentative="1">
      <w:start w:val="1"/>
      <w:numFmt w:val="bullet"/>
      <w:lvlText w:val=""/>
      <w:lvlJc w:val="left"/>
      <w:pPr>
        <w:ind w:left="6480" w:hanging="360"/>
      </w:pPr>
      <w:rPr>
        <w:rFonts w:ascii="Wingdings" w:hAnsi="Wingdings" w:hint="default"/>
      </w:rPr>
    </w:lvl>
  </w:abstractNum>
  <w:abstractNum w:abstractNumId="4" w15:restartNumberingAfterBreak="0">
    <w:nsid w:val="7DCF4C0F"/>
    <w:multiLevelType w:val="hybridMultilevel"/>
    <w:tmpl w:val="45008EE0"/>
    <w:lvl w:ilvl="0" w:tplc="457E5398">
      <w:start w:val="1"/>
      <w:numFmt w:val="bullet"/>
      <w:lvlText w:val=""/>
      <w:lvlJc w:val="left"/>
      <w:pPr>
        <w:ind w:left="720" w:hanging="360"/>
      </w:pPr>
      <w:rPr>
        <w:rFonts w:ascii="Wingdings" w:hAnsi="Wingdings" w:hint="default"/>
      </w:rPr>
    </w:lvl>
    <w:lvl w:ilvl="1" w:tplc="7A7A34B6" w:tentative="1">
      <w:start w:val="1"/>
      <w:numFmt w:val="bullet"/>
      <w:lvlText w:val="o"/>
      <w:lvlJc w:val="left"/>
      <w:pPr>
        <w:ind w:left="1440" w:hanging="360"/>
      </w:pPr>
      <w:rPr>
        <w:rFonts w:ascii="Courier New" w:hAnsi="Courier New" w:cs="Courier New" w:hint="default"/>
      </w:rPr>
    </w:lvl>
    <w:lvl w:ilvl="2" w:tplc="8CBEE224" w:tentative="1">
      <w:start w:val="1"/>
      <w:numFmt w:val="bullet"/>
      <w:lvlText w:val=""/>
      <w:lvlJc w:val="left"/>
      <w:pPr>
        <w:ind w:left="2160" w:hanging="360"/>
      </w:pPr>
      <w:rPr>
        <w:rFonts w:ascii="Wingdings" w:hAnsi="Wingdings" w:hint="default"/>
      </w:rPr>
    </w:lvl>
    <w:lvl w:ilvl="3" w:tplc="25081A20" w:tentative="1">
      <w:start w:val="1"/>
      <w:numFmt w:val="bullet"/>
      <w:lvlText w:val=""/>
      <w:lvlJc w:val="left"/>
      <w:pPr>
        <w:ind w:left="2880" w:hanging="360"/>
      </w:pPr>
      <w:rPr>
        <w:rFonts w:ascii="Symbol" w:hAnsi="Symbol" w:hint="default"/>
      </w:rPr>
    </w:lvl>
    <w:lvl w:ilvl="4" w:tplc="C7CA1188" w:tentative="1">
      <w:start w:val="1"/>
      <w:numFmt w:val="bullet"/>
      <w:lvlText w:val="o"/>
      <w:lvlJc w:val="left"/>
      <w:pPr>
        <w:ind w:left="3600" w:hanging="360"/>
      </w:pPr>
      <w:rPr>
        <w:rFonts w:ascii="Courier New" w:hAnsi="Courier New" w:cs="Courier New" w:hint="default"/>
      </w:rPr>
    </w:lvl>
    <w:lvl w:ilvl="5" w:tplc="DE96BF52" w:tentative="1">
      <w:start w:val="1"/>
      <w:numFmt w:val="bullet"/>
      <w:lvlText w:val=""/>
      <w:lvlJc w:val="left"/>
      <w:pPr>
        <w:ind w:left="4320" w:hanging="360"/>
      </w:pPr>
      <w:rPr>
        <w:rFonts w:ascii="Wingdings" w:hAnsi="Wingdings" w:hint="default"/>
      </w:rPr>
    </w:lvl>
    <w:lvl w:ilvl="6" w:tplc="1D2A2410" w:tentative="1">
      <w:start w:val="1"/>
      <w:numFmt w:val="bullet"/>
      <w:lvlText w:val=""/>
      <w:lvlJc w:val="left"/>
      <w:pPr>
        <w:ind w:left="5040" w:hanging="360"/>
      </w:pPr>
      <w:rPr>
        <w:rFonts w:ascii="Symbol" w:hAnsi="Symbol" w:hint="default"/>
      </w:rPr>
    </w:lvl>
    <w:lvl w:ilvl="7" w:tplc="C9A698C8" w:tentative="1">
      <w:start w:val="1"/>
      <w:numFmt w:val="bullet"/>
      <w:lvlText w:val="o"/>
      <w:lvlJc w:val="left"/>
      <w:pPr>
        <w:ind w:left="5760" w:hanging="360"/>
      </w:pPr>
      <w:rPr>
        <w:rFonts w:ascii="Courier New" w:hAnsi="Courier New" w:cs="Courier New" w:hint="default"/>
      </w:rPr>
    </w:lvl>
    <w:lvl w:ilvl="8" w:tplc="95DA3496" w:tentative="1">
      <w:start w:val="1"/>
      <w:numFmt w:val="bullet"/>
      <w:lvlText w:val=""/>
      <w:lvlJc w:val="left"/>
      <w:pPr>
        <w:ind w:left="6480" w:hanging="360"/>
      </w:pPr>
      <w:rPr>
        <w:rFonts w:ascii="Wingdings" w:hAnsi="Wingdings" w:hint="default"/>
      </w:rPr>
    </w:lvl>
  </w:abstractNum>
  <w:num w:numId="1" w16cid:durableId="1661929440">
    <w:abstractNumId w:val="1"/>
  </w:num>
  <w:num w:numId="2" w16cid:durableId="191845029">
    <w:abstractNumId w:val="4"/>
  </w:num>
  <w:num w:numId="3" w16cid:durableId="818688590">
    <w:abstractNumId w:val="2"/>
  </w:num>
  <w:num w:numId="4" w16cid:durableId="1208838607">
    <w:abstractNumId w:val="0"/>
  </w:num>
  <w:num w:numId="5" w16cid:durableId="1021052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B9"/>
    <w:rsid w:val="000012C8"/>
    <w:rsid w:val="000126E8"/>
    <w:rsid w:val="00094E42"/>
    <w:rsid w:val="000C437F"/>
    <w:rsid w:val="000E565E"/>
    <w:rsid w:val="000E70B1"/>
    <w:rsid w:val="001042C0"/>
    <w:rsid w:val="001C3CD2"/>
    <w:rsid w:val="001D7DE2"/>
    <w:rsid w:val="00207ABF"/>
    <w:rsid w:val="002115B9"/>
    <w:rsid w:val="0021607F"/>
    <w:rsid w:val="00222C0B"/>
    <w:rsid w:val="0024177E"/>
    <w:rsid w:val="00283B91"/>
    <w:rsid w:val="002B1EB8"/>
    <w:rsid w:val="002D5C5F"/>
    <w:rsid w:val="002E2111"/>
    <w:rsid w:val="002E2E65"/>
    <w:rsid w:val="00314CAC"/>
    <w:rsid w:val="00326ADE"/>
    <w:rsid w:val="00340F34"/>
    <w:rsid w:val="00355807"/>
    <w:rsid w:val="00374940"/>
    <w:rsid w:val="003770D8"/>
    <w:rsid w:val="00381301"/>
    <w:rsid w:val="0038646A"/>
    <w:rsid w:val="003C418A"/>
    <w:rsid w:val="003C5917"/>
    <w:rsid w:val="003F50FF"/>
    <w:rsid w:val="00406F13"/>
    <w:rsid w:val="00474FD8"/>
    <w:rsid w:val="00492DF1"/>
    <w:rsid w:val="004B6550"/>
    <w:rsid w:val="004C2DC4"/>
    <w:rsid w:val="004D323D"/>
    <w:rsid w:val="004F059F"/>
    <w:rsid w:val="004F583F"/>
    <w:rsid w:val="005134D5"/>
    <w:rsid w:val="00535889"/>
    <w:rsid w:val="005406C9"/>
    <w:rsid w:val="0055408C"/>
    <w:rsid w:val="005C28AF"/>
    <w:rsid w:val="00614A0D"/>
    <w:rsid w:val="00620518"/>
    <w:rsid w:val="00627B91"/>
    <w:rsid w:val="00640339"/>
    <w:rsid w:val="00647C6C"/>
    <w:rsid w:val="00684D49"/>
    <w:rsid w:val="006D0A3B"/>
    <w:rsid w:val="006D0DC6"/>
    <w:rsid w:val="006E14BE"/>
    <w:rsid w:val="00732195"/>
    <w:rsid w:val="007367D9"/>
    <w:rsid w:val="00762DD3"/>
    <w:rsid w:val="0079478F"/>
    <w:rsid w:val="007B0A94"/>
    <w:rsid w:val="007B6BF4"/>
    <w:rsid w:val="007E0243"/>
    <w:rsid w:val="00824CF4"/>
    <w:rsid w:val="00845DDF"/>
    <w:rsid w:val="008A3B94"/>
    <w:rsid w:val="008D5406"/>
    <w:rsid w:val="008D59D2"/>
    <w:rsid w:val="008D6CAF"/>
    <w:rsid w:val="008F7B02"/>
    <w:rsid w:val="009069D2"/>
    <w:rsid w:val="00906B52"/>
    <w:rsid w:val="00922EE7"/>
    <w:rsid w:val="00924F4C"/>
    <w:rsid w:val="009326AB"/>
    <w:rsid w:val="009447A6"/>
    <w:rsid w:val="00956F94"/>
    <w:rsid w:val="00997720"/>
    <w:rsid w:val="009E3A4E"/>
    <w:rsid w:val="00A51A71"/>
    <w:rsid w:val="00A708B5"/>
    <w:rsid w:val="00AD5222"/>
    <w:rsid w:val="00AE765F"/>
    <w:rsid w:val="00B07516"/>
    <w:rsid w:val="00B17701"/>
    <w:rsid w:val="00B316EB"/>
    <w:rsid w:val="00B41E7A"/>
    <w:rsid w:val="00B62495"/>
    <w:rsid w:val="00B77518"/>
    <w:rsid w:val="00BD5F86"/>
    <w:rsid w:val="00C10786"/>
    <w:rsid w:val="00C341D7"/>
    <w:rsid w:val="00C76477"/>
    <w:rsid w:val="00CF5CF0"/>
    <w:rsid w:val="00D5515E"/>
    <w:rsid w:val="00D60B78"/>
    <w:rsid w:val="00D6698A"/>
    <w:rsid w:val="00E006D9"/>
    <w:rsid w:val="00E03128"/>
    <w:rsid w:val="00E210C3"/>
    <w:rsid w:val="00E229F9"/>
    <w:rsid w:val="00E5473F"/>
    <w:rsid w:val="00E54EBF"/>
    <w:rsid w:val="00EB141A"/>
    <w:rsid w:val="00EC1454"/>
    <w:rsid w:val="00EC37C6"/>
    <w:rsid w:val="00ED0A85"/>
    <w:rsid w:val="00F11D71"/>
    <w:rsid w:val="00F72C0F"/>
    <w:rsid w:val="00F744DD"/>
    <w:rsid w:val="00F83149"/>
    <w:rsid w:val="00F975FC"/>
    <w:rsid w:val="00FA1423"/>
    <w:rsid w:val="00FF3C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BE2D"/>
  <w15:docId w15:val="{FE4EDF46-17A6-4CB0-AD67-92A113C2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5B9"/>
  </w:style>
  <w:style w:type="paragraph" w:styleId="Footer">
    <w:name w:val="footer"/>
    <w:basedOn w:val="Normal"/>
    <w:link w:val="FooterChar"/>
    <w:uiPriority w:val="99"/>
    <w:unhideWhenUsed/>
    <w:rsid w:val="00211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5B9"/>
  </w:style>
  <w:style w:type="paragraph" w:styleId="ListParagraph">
    <w:name w:val="List Paragraph"/>
    <w:basedOn w:val="Normal"/>
    <w:uiPriority w:val="34"/>
    <w:qFormat/>
    <w:rsid w:val="002115B9"/>
    <w:pPr>
      <w:ind w:left="720"/>
      <w:contextualSpacing/>
    </w:pPr>
  </w:style>
  <w:style w:type="character" w:styleId="Hyperlink">
    <w:name w:val="Hyperlink"/>
    <w:basedOn w:val="DefaultParagraphFont"/>
    <w:uiPriority w:val="99"/>
    <w:unhideWhenUsed/>
    <w:rsid w:val="00283B91"/>
    <w:rPr>
      <w:color w:val="0563C1" w:themeColor="hyperlink"/>
      <w:u w:val="single"/>
    </w:rPr>
  </w:style>
  <w:style w:type="character" w:customStyle="1" w:styleId="UnresolvedMention1">
    <w:name w:val="Unresolved Mention1"/>
    <w:basedOn w:val="DefaultParagraphFont"/>
    <w:uiPriority w:val="99"/>
    <w:semiHidden/>
    <w:unhideWhenUsed/>
    <w:rsid w:val="00283B91"/>
    <w:rPr>
      <w:color w:val="605E5C"/>
      <w:shd w:val="clear" w:color="auto" w:fill="E1DFDD"/>
    </w:rPr>
  </w:style>
  <w:style w:type="character" w:styleId="FollowedHyperlink">
    <w:name w:val="FollowedHyperlink"/>
    <w:basedOn w:val="DefaultParagraphFont"/>
    <w:uiPriority w:val="99"/>
    <w:semiHidden/>
    <w:unhideWhenUsed/>
    <w:rsid w:val="003C418A"/>
    <w:rPr>
      <w:color w:val="954F72" w:themeColor="followedHyperlink"/>
      <w:u w:val="single"/>
    </w:rPr>
  </w:style>
  <w:style w:type="paragraph" w:styleId="BalloonText">
    <w:name w:val="Balloon Text"/>
    <w:basedOn w:val="Normal"/>
    <w:link w:val="BalloonTextChar"/>
    <w:uiPriority w:val="99"/>
    <w:semiHidden/>
    <w:unhideWhenUsed/>
    <w:rsid w:val="00647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6C"/>
    <w:rPr>
      <w:rFonts w:ascii="Segoe UI" w:hAnsi="Segoe UI" w:cs="Segoe UI"/>
      <w:sz w:val="18"/>
      <w:szCs w:val="18"/>
    </w:rPr>
  </w:style>
  <w:style w:type="paragraph" w:styleId="Revision">
    <w:name w:val="Revision"/>
    <w:hidden/>
    <w:uiPriority w:val="99"/>
    <w:semiHidden/>
    <w:rsid w:val="00AE765F"/>
    <w:pPr>
      <w:spacing w:after="0" w:line="240" w:lineRule="auto"/>
    </w:pPr>
  </w:style>
  <w:style w:type="character" w:styleId="CommentReference">
    <w:name w:val="annotation reference"/>
    <w:basedOn w:val="DefaultParagraphFont"/>
    <w:uiPriority w:val="99"/>
    <w:semiHidden/>
    <w:unhideWhenUsed/>
    <w:rsid w:val="00C76477"/>
    <w:rPr>
      <w:sz w:val="16"/>
      <w:szCs w:val="16"/>
    </w:rPr>
  </w:style>
  <w:style w:type="paragraph" w:styleId="CommentText">
    <w:name w:val="annotation text"/>
    <w:basedOn w:val="Normal"/>
    <w:link w:val="CommentTextChar"/>
    <w:uiPriority w:val="99"/>
    <w:unhideWhenUsed/>
    <w:rsid w:val="00C76477"/>
    <w:pPr>
      <w:spacing w:line="240" w:lineRule="auto"/>
    </w:pPr>
    <w:rPr>
      <w:sz w:val="20"/>
      <w:szCs w:val="20"/>
    </w:rPr>
  </w:style>
  <w:style w:type="character" w:customStyle="1" w:styleId="CommentTextChar">
    <w:name w:val="Comment Text Char"/>
    <w:basedOn w:val="DefaultParagraphFont"/>
    <w:link w:val="CommentText"/>
    <w:uiPriority w:val="99"/>
    <w:rsid w:val="00C76477"/>
    <w:rPr>
      <w:sz w:val="20"/>
      <w:szCs w:val="20"/>
    </w:rPr>
  </w:style>
  <w:style w:type="paragraph" w:styleId="CommentSubject">
    <w:name w:val="annotation subject"/>
    <w:basedOn w:val="CommentText"/>
    <w:next w:val="CommentText"/>
    <w:link w:val="CommentSubjectChar"/>
    <w:uiPriority w:val="99"/>
    <w:semiHidden/>
    <w:unhideWhenUsed/>
    <w:rsid w:val="00C76477"/>
    <w:rPr>
      <w:b/>
      <w:bCs/>
    </w:rPr>
  </w:style>
  <w:style w:type="character" w:customStyle="1" w:styleId="CommentSubjectChar">
    <w:name w:val="Comment Subject Char"/>
    <w:basedOn w:val="CommentTextChar"/>
    <w:link w:val="CommentSubject"/>
    <w:uiPriority w:val="99"/>
    <w:semiHidden/>
    <w:rsid w:val="00C76477"/>
    <w:rPr>
      <w:b/>
      <w:bCs/>
      <w:sz w:val="20"/>
      <w:szCs w:val="20"/>
    </w:rPr>
  </w:style>
  <w:style w:type="character" w:styleId="UnresolvedMention">
    <w:name w:val="Unresolved Mention"/>
    <w:basedOn w:val="DefaultParagraphFont"/>
    <w:uiPriority w:val="99"/>
    <w:rsid w:val="005C2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mpresourc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mpresourc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mpresource.org" TargetMode="External"/><Relationship Id="rId5" Type="http://schemas.openxmlformats.org/officeDocument/2006/relationships/styles" Target="styles.xml"/><Relationship Id="rId15" Type="http://schemas.openxmlformats.org/officeDocument/2006/relationships/hyperlink" Target="http://www.smpresource.org" TargetMode="External"/><Relationship Id="rId10" Type="http://schemas.openxmlformats.org/officeDocument/2006/relationships/hyperlink" Target="https://www.smpresource.org/Content/Medicare-Fraud-Prevention-Week/Social-Media-Kit.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mpresour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6" ma:contentTypeDescription="Create a new document." ma:contentTypeScope="" ma:versionID="77a08425494037da47a94ff0950b991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d20239a216ae23b4611aaf8d857d400c"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989F7-48DA-4CF3-B0AE-90F09634240B}">
  <ds:schemaRefs>
    <ds:schemaRef ds:uri="http://schemas.microsoft.com/sharepoint/v3/contenttype/forms"/>
  </ds:schemaRefs>
</ds:datastoreItem>
</file>

<file path=customXml/itemProps2.xml><?xml version="1.0" encoding="utf-8"?>
<ds:datastoreItem xmlns:ds="http://schemas.openxmlformats.org/officeDocument/2006/customXml" ds:itemID="{7D9CC99A-F708-4AE4-96CA-BCE16136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6DA0ED-4335-4A24-A75C-F3F8EBFD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Orton</dc:creator>
  <cp:lastModifiedBy>Nicole Liebau</cp:lastModifiedBy>
  <cp:revision>2</cp:revision>
  <cp:lastPrinted>2022-03-23T14:45:00Z</cp:lastPrinted>
  <dcterms:created xsi:type="dcterms:W3CDTF">2024-03-06T18:48:00Z</dcterms:created>
  <dcterms:modified xsi:type="dcterms:W3CDTF">2024-03-06T18:48:00Z</dcterms:modified>
</cp:coreProperties>
</file>